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A69AB9">
      <w:pPr>
        <w:keepNext w:val="0"/>
        <w:keepLines w:val="0"/>
        <w:pageBreakBefore w:val="0"/>
        <w:widowControl/>
        <w:numPr>
          <w:ilvl w:val="255"/>
          <w:numId w:val="0"/>
        </w:numPr>
        <w:kinsoku/>
        <w:wordWrap/>
        <w:overflowPunct/>
        <w:topLinePunct w:val="0"/>
        <w:autoSpaceDE/>
        <w:autoSpaceDN/>
        <w:bidi w:val="0"/>
        <w:snapToGrid/>
        <w:spacing w:line="540" w:lineRule="exact"/>
        <w:jc w:val="center"/>
        <w:textAlignment w:val="auto"/>
        <w:rPr>
          <w:rFonts w:ascii="仿宋" w:hAnsi="仿宋" w:eastAsia="仿宋" w:cs="仿宋"/>
          <w:sz w:val="32"/>
          <w:szCs w:val="32"/>
        </w:rPr>
      </w:pPr>
      <w:r>
        <w:rPr>
          <w:rFonts w:hint="eastAsia" w:ascii="宋体" w:hAnsi="宋体" w:eastAsia="宋体" w:cs="宋体"/>
          <w:b/>
          <w:bCs/>
          <w:sz w:val="44"/>
          <w:szCs w:val="44"/>
        </w:rPr>
        <w:t>安徽建筑大学文明食堂创建实施办法</w:t>
      </w:r>
    </w:p>
    <w:p w14:paraId="184DC6E8">
      <w:pPr>
        <w:keepNext w:val="0"/>
        <w:keepLines w:val="0"/>
        <w:pageBreakBefore w:val="0"/>
        <w:widowControl/>
        <w:numPr>
          <w:ilvl w:val="255"/>
          <w:numId w:val="0"/>
        </w:numPr>
        <w:kinsoku/>
        <w:wordWrap/>
        <w:overflowPunct/>
        <w:topLinePunct w:val="0"/>
        <w:autoSpaceDE/>
        <w:autoSpaceDN/>
        <w:bidi w:val="0"/>
        <w:snapToGrid/>
        <w:spacing w:line="540" w:lineRule="exact"/>
        <w:ind w:firstLine="640" w:firstLineChars="200"/>
        <w:textAlignment w:val="auto"/>
        <w:rPr>
          <w:rFonts w:ascii="仿宋" w:hAnsi="仿宋" w:eastAsia="仿宋" w:cs="仿宋"/>
          <w:sz w:val="32"/>
          <w:szCs w:val="32"/>
        </w:rPr>
      </w:pPr>
    </w:p>
    <w:p w14:paraId="36F767F5">
      <w:pPr>
        <w:keepNext w:val="0"/>
        <w:keepLines w:val="0"/>
        <w:pageBreakBefore w:val="0"/>
        <w:widowControl/>
        <w:numPr>
          <w:ilvl w:val="255"/>
          <w:numId w:val="0"/>
        </w:numPr>
        <w:kinsoku/>
        <w:wordWrap/>
        <w:overflowPunct/>
        <w:topLinePunct w:val="0"/>
        <w:autoSpaceDE/>
        <w:autoSpaceDN/>
        <w:bidi w:val="0"/>
        <w:snapToGrid/>
        <w:spacing w:line="540" w:lineRule="exact"/>
        <w:jc w:val="center"/>
        <w:textAlignment w:val="auto"/>
        <w:rPr>
          <w:rFonts w:ascii="仿宋_GB2312" w:hAnsi="仿宋_GB2312" w:eastAsia="仿宋_GB2312" w:cs="仿宋_GB2312"/>
          <w:b/>
          <w:bCs/>
          <w:sz w:val="32"/>
          <w:szCs w:val="32"/>
        </w:rPr>
      </w:pPr>
      <w:r>
        <w:rPr>
          <w:rFonts w:hint="eastAsia" w:ascii="黑体" w:hAnsi="黑体" w:eastAsia="黑体" w:cs="黑体"/>
          <w:sz w:val="32"/>
          <w:szCs w:val="32"/>
        </w:rPr>
        <w:t>第一章 总  则</w:t>
      </w:r>
    </w:p>
    <w:p w14:paraId="2F68F7BF">
      <w:pPr>
        <w:keepNext w:val="0"/>
        <w:keepLines w:val="0"/>
        <w:pageBreakBefore w:val="0"/>
        <w:kinsoku/>
        <w:wordWrap/>
        <w:overflowPunct/>
        <w:topLinePunct w:val="0"/>
        <w:autoSpaceDE/>
        <w:autoSpaceDN/>
        <w:bidi w:val="0"/>
        <w:snapToGrid/>
        <w:spacing w:line="54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xml:space="preserve"> </w:t>
      </w:r>
      <w:r>
        <w:rPr>
          <w:rFonts w:hint="eastAsia" w:ascii="仿宋_GB2312" w:eastAsia="仿宋_GB2312" w:hAnsiTheme="minorEastAsia"/>
          <w:sz w:val="32"/>
          <w:szCs w:val="32"/>
        </w:rPr>
        <w:t>为全面落实文明校园创建工作，进一步规范学校食堂经营管理，更好地为学校广大师生员工提供优质的餐饮服务与生活保障，助力文明校园创建，切实推动学校食堂文明建设实现思想自觉和行动自觉，以《安徽省文明校园创建管理办法》为指导，按照</w:t>
      </w:r>
      <w:bookmarkStart w:id="0" w:name="文件标题"/>
      <w:r>
        <w:rPr>
          <w:rFonts w:hint="eastAsia" w:ascii="仿宋_GB2312" w:eastAsia="仿宋_GB2312" w:hAnsiTheme="minorEastAsia"/>
          <w:sz w:val="32"/>
          <w:szCs w:val="32"/>
        </w:rPr>
        <w:t>《安徽建筑大学文明校园创建活动实施办法</w:t>
      </w:r>
      <w:bookmarkEnd w:id="0"/>
      <w:r>
        <w:rPr>
          <w:rFonts w:hint="eastAsia" w:ascii="仿宋_GB2312" w:eastAsia="仿宋_GB2312" w:hAnsiTheme="minorEastAsia"/>
          <w:sz w:val="32"/>
          <w:szCs w:val="32"/>
        </w:rPr>
        <w:t>》等文件精神要求，结合学校饮食保障工作实际，制定本实施办法。</w:t>
      </w:r>
    </w:p>
    <w:p w14:paraId="5AA98AD9">
      <w:pPr>
        <w:keepNext w:val="0"/>
        <w:keepLines w:val="0"/>
        <w:pageBreakBefore w:val="0"/>
        <w:kinsoku/>
        <w:wordWrap/>
        <w:overflowPunct/>
        <w:topLinePunct w:val="0"/>
        <w:autoSpaceDE/>
        <w:autoSpaceDN/>
        <w:bidi w:val="0"/>
        <w:snapToGrid/>
        <w:spacing w:line="54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xml:space="preserve"> 文明食堂创建</w:t>
      </w:r>
      <w:r>
        <w:rPr>
          <w:rFonts w:hint="eastAsia" w:ascii="仿宋_GB2312" w:eastAsia="仿宋_GB2312" w:hAnsiTheme="minorEastAsia"/>
          <w:sz w:val="32"/>
          <w:szCs w:val="32"/>
        </w:rPr>
        <w:t>以习近平新时代中国特色社会主义思想为指导，坚持“以生为本、服务为先”的理念，围绕“三全育人”的服务宗旨，以思想道德好、食品安全好、饭菜质量好、服务水平好、饮食环境好等方面为重点开展文明食堂创建工作，进一步促进食堂规范经营，提升文明素质，改善就餐环境、增强服务本领，提高服务质量，提升管理水平。</w:t>
      </w:r>
      <w:r>
        <w:rPr>
          <w:rFonts w:hint="eastAsia" w:ascii="仿宋_GB2312" w:eastAsia="仿宋_GB2312" w:hAnsiTheme="majorEastAsia"/>
          <w:sz w:val="32"/>
          <w:szCs w:val="32"/>
        </w:rPr>
        <w:t>教育引导学生树立“节约光荣、浪费可耻”的意识，大力弘扬勤俭节约、艰苦奋斗的精神，促进学生良好行为习惯的养成，</w:t>
      </w:r>
      <w:r>
        <w:rPr>
          <w:rFonts w:hint="eastAsia" w:ascii="仿宋_GB2312" w:eastAsia="仿宋_GB2312" w:hAnsiTheme="minorEastAsia"/>
          <w:sz w:val="32"/>
          <w:szCs w:val="32"/>
        </w:rPr>
        <w:t>倡导珍惜粮食、勤俭节约，</w:t>
      </w:r>
      <w:r>
        <w:rPr>
          <w:rFonts w:hint="eastAsia" w:ascii="仿宋_GB2312" w:eastAsia="仿宋_GB2312" w:hAnsiTheme="majorEastAsia"/>
          <w:sz w:val="32"/>
          <w:szCs w:val="32"/>
        </w:rPr>
        <w:t>引领“文明用餐、节约粮食”的良好风尚。</w:t>
      </w:r>
      <w:r>
        <w:rPr>
          <w:rFonts w:hint="eastAsia" w:ascii="仿宋_GB2312" w:eastAsia="仿宋_GB2312" w:hAnsiTheme="minorEastAsia"/>
          <w:sz w:val="32"/>
          <w:szCs w:val="32"/>
        </w:rPr>
        <w:t>竭力打造健康饮食文化，推动学校精神文明建设再上新台阶。</w:t>
      </w:r>
    </w:p>
    <w:p w14:paraId="6710649C">
      <w:pPr>
        <w:keepNext w:val="0"/>
        <w:keepLines w:val="0"/>
        <w:pageBreakBefore w:val="0"/>
        <w:numPr>
          <w:ilvl w:val="255"/>
          <w:numId w:val="0"/>
        </w:numPr>
        <w:kinsoku/>
        <w:wordWrap/>
        <w:overflowPunct/>
        <w:topLinePunct w:val="0"/>
        <w:autoSpaceDE/>
        <w:autoSpaceDN/>
        <w:bidi w:val="0"/>
        <w:snapToGrid/>
        <w:spacing w:line="540" w:lineRule="exact"/>
        <w:ind w:firstLine="643" w:firstLineChars="200"/>
        <w:jc w:val="left"/>
        <w:textAlignment w:val="auto"/>
        <w:rPr>
          <w:rFonts w:ascii="黑体" w:hAnsi="黑体" w:eastAsia="仿宋_GB2312" w:cs="黑体"/>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xml:space="preserve"> 安</w:t>
      </w:r>
      <w:r>
        <w:rPr>
          <w:rFonts w:ascii="仿宋_GB2312" w:hAnsi="仿宋_GB2312" w:eastAsia="仿宋_GB2312" w:cs="仿宋_GB2312"/>
          <w:sz w:val="32"/>
          <w:szCs w:val="32"/>
        </w:rPr>
        <w:t>徽建筑大学精神文明建设指导委员会</w:t>
      </w:r>
      <w:r>
        <w:rPr>
          <w:rFonts w:hint="eastAsia" w:ascii="仿宋_GB2312" w:hAnsi="仿宋_GB2312" w:eastAsia="仿宋_GB2312" w:cs="仿宋_GB2312"/>
          <w:sz w:val="32"/>
          <w:szCs w:val="32"/>
        </w:rPr>
        <w:t>是学校文明创建的主管机构，后勤管理处在安徽建筑大学文明校园创建工作领导小组的领导下负责文明食堂创建具体组织实施工作。</w:t>
      </w:r>
    </w:p>
    <w:p w14:paraId="62A7BACC">
      <w:pPr>
        <w:keepNext w:val="0"/>
        <w:keepLines w:val="0"/>
        <w:pageBreakBefore w:val="0"/>
        <w:numPr>
          <w:ilvl w:val="255"/>
          <w:numId w:val="0"/>
        </w:numPr>
        <w:kinsoku/>
        <w:wordWrap/>
        <w:overflowPunct/>
        <w:topLinePunct w:val="0"/>
        <w:autoSpaceDE/>
        <w:autoSpaceDN/>
        <w:bidi w:val="0"/>
        <w:snapToGrid/>
        <w:spacing w:line="540" w:lineRule="exact"/>
        <w:jc w:val="center"/>
        <w:textAlignment w:val="auto"/>
        <w:rPr>
          <w:rFonts w:ascii="黑体" w:hAnsi="黑体" w:eastAsia="黑体" w:cs="黑体"/>
          <w:sz w:val="32"/>
          <w:szCs w:val="32"/>
        </w:rPr>
      </w:pPr>
      <w:r>
        <w:rPr>
          <w:rFonts w:hint="eastAsia" w:ascii="黑体" w:hAnsi="黑体" w:eastAsia="黑体" w:cs="黑体"/>
          <w:sz w:val="32"/>
          <w:szCs w:val="32"/>
        </w:rPr>
        <w:t>第二章 创建标准</w:t>
      </w:r>
    </w:p>
    <w:p w14:paraId="4B4636C4">
      <w:pPr>
        <w:keepNext w:val="0"/>
        <w:keepLines w:val="0"/>
        <w:pageBreakBefore w:val="0"/>
        <w:kinsoku/>
        <w:wordWrap/>
        <w:overflowPunct/>
        <w:topLinePunct w:val="0"/>
        <w:autoSpaceDE/>
        <w:autoSpaceDN/>
        <w:bidi w:val="0"/>
        <w:snapToGrid/>
        <w:spacing w:line="54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文明食堂创建设置五个方面标准。</w:t>
      </w:r>
    </w:p>
    <w:p w14:paraId="022C24FB">
      <w:pPr>
        <w:keepNext w:val="0"/>
        <w:keepLines w:val="0"/>
        <w:pageBreakBefore w:val="0"/>
        <w:kinsoku/>
        <w:wordWrap/>
        <w:overflowPunct/>
        <w:topLinePunct w:val="0"/>
        <w:autoSpaceDE/>
        <w:autoSpaceDN/>
        <w:bidi w:val="0"/>
        <w:snapToGrid/>
        <w:spacing w:line="54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1.思想道德好。</w:t>
      </w:r>
      <w:r>
        <w:rPr>
          <w:rFonts w:hint="eastAsia" w:ascii="仿宋_GB2312" w:hAnsi="仿宋_GB2312" w:eastAsia="仿宋_GB2312" w:cs="仿宋_GB2312"/>
          <w:sz w:val="32"/>
          <w:szCs w:val="32"/>
        </w:rPr>
        <w:t>持续深入学习习近平新时代中国特色社会主义思想。开展人员岗前培训和考核，强化理想信念教育，积极培育和践行社会主义核心价值观。做好法制宣传教育，开展法律、法规政策宣讲活动，督导各食堂经营公司依法经营，接受师生监督检查。以诚实守信，文明规范，公平公正为内容，建立优良的文明经营服务理念，签订文明经营承诺书，督促各食堂经营公司按照承诺书要求诚信经营。积极普及餐桌文明知识，广泛开展文明就餐宣传活动，在餐厅或餐桌醒目处悬挂张贴“适度点餐，文明就餐、合理消费、浪费可耻”等宣传标语提醒广大师生文明就餐。</w:t>
      </w:r>
    </w:p>
    <w:p w14:paraId="4A77BDBE">
      <w:pPr>
        <w:keepNext w:val="0"/>
        <w:keepLines w:val="0"/>
        <w:pageBreakBefore w:val="0"/>
        <w:kinsoku/>
        <w:wordWrap/>
        <w:overflowPunct/>
        <w:topLinePunct w:val="0"/>
        <w:autoSpaceDE/>
        <w:autoSpaceDN/>
        <w:bidi w:val="0"/>
        <w:snapToGrid/>
        <w:spacing w:line="540" w:lineRule="exact"/>
        <w:ind w:firstLine="643"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
          <w:bCs/>
          <w:sz w:val="32"/>
          <w:szCs w:val="32"/>
        </w:rPr>
        <w:t>2.食品安全好。</w:t>
      </w:r>
      <w:r>
        <w:rPr>
          <w:rFonts w:hint="eastAsia" w:ascii="仿宋_GB2312" w:hAnsi="仿宋_GB2312" w:eastAsia="仿宋_GB2312" w:cs="仿宋_GB2312"/>
          <w:sz w:val="32"/>
          <w:szCs w:val="32"/>
        </w:rPr>
        <w:t>深入贯彻落实习近平总书记关于食品安全的重要讲话和重要指示精神，全面落实“四个最严”要求，排查食品安全风险隐患，保障校园师生饮食安全。严格按照《餐饮服务食品安全操作规范》《学校食品安全与营养健康管理规定》等文件要求，加强食品安全日常管理，健全完善人员管理、进货查验、加工操作、食品留样、信息公开等制度。针对晨检、食物储存、餐饮具清洗消毒、加工操作、食品留样、剩余食品处置等重点环节，对照《食品安全国家标准餐饮服务通用卫生规范》（GB31654-2021）和《餐饮服务食品安全操作规范》等要求，重点检查索证索票、进货查验、从业人员健康管理、食品留样等制度落实情况。重点落实食品安全管理制度并履行食品安全责任，将“日管控、周排查、月</w:t>
      </w:r>
      <w:r>
        <w:rPr>
          <w:rFonts w:hint="eastAsia" w:ascii="仿宋_GB2312" w:hAnsi="仿宋_GB2312" w:eastAsia="仿宋_GB2312" w:cs="仿宋_GB2312"/>
          <w:color w:val="000000" w:themeColor="text1"/>
          <w:sz w:val="32"/>
          <w:szCs w:val="32"/>
          <w14:textFill>
            <w14:solidFill>
              <w14:schemeClr w14:val="tx1"/>
            </w14:solidFill>
          </w14:textFill>
        </w:rPr>
        <w:t>调度</w:t>
      </w:r>
      <w:r>
        <w:rPr>
          <w:rFonts w:hint="eastAsia" w:ascii="仿宋_GB2312" w:hAnsi="仿宋_GB2312" w:eastAsia="仿宋_GB2312" w:cs="仿宋_GB2312"/>
          <w:sz w:val="32"/>
          <w:szCs w:val="32"/>
        </w:rPr>
        <w:t>”工作机制深度嵌入食堂日常管理，严格执行食品安全法律法规各项制度，全过程规范操作。强化过程管控，充分利用技防手段推进</w:t>
      </w:r>
      <w:r>
        <w:rPr>
          <w:rFonts w:hint="eastAsia" w:ascii="仿宋_GB2312" w:hAnsi="仿宋_GB2312" w:eastAsia="仿宋_GB2312" w:cs="仿宋_GB2312"/>
          <w:bCs/>
          <w:sz w:val="32"/>
          <w:szCs w:val="32"/>
        </w:rPr>
        <w:t>食堂“明厨亮灶”提质扩面，做到加工操作全覆盖。</w:t>
      </w:r>
    </w:p>
    <w:p w14:paraId="071E3CF9">
      <w:pPr>
        <w:keepNext w:val="0"/>
        <w:keepLines w:val="0"/>
        <w:pageBreakBefore w:val="0"/>
        <w:kinsoku/>
        <w:wordWrap/>
        <w:overflowPunct/>
        <w:topLinePunct w:val="0"/>
        <w:autoSpaceDE/>
        <w:autoSpaceDN/>
        <w:bidi w:val="0"/>
        <w:snapToGrid/>
        <w:spacing w:line="54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3.饭菜质量好。</w:t>
      </w:r>
      <w:r>
        <w:rPr>
          <w:rFonts w:hint="eastAsia" w:ascii="仿宋_GB2312" w:hAnsi="仿宋_GB2312" w:eastAsia="仿宋_GB2312" w:cs="仿宋_GB2312"/>
          <w:sz w:val="32"/>
          <w:szCs w:val="32"/>
        </w:rPr>
        <w:t>严格按照合同和服务承诺等约定守法经营，坚持正确办伙方向，即体现公益性又适应市场规律，以办好满足学生需求的基本大伙为重点，做到食堂饭菜明码标价，精准核算成本，坚持微利经营，稳定饭菜价格，确保菜品质价相符。坚持诚信经营，严把食品质量关，不生产、加工、销售假冒伪劣商品，不短斤少两、以次充好，真实标示产品质量信息，杜绝商业欺诈和虚假宣传行为，自觉规范经营秩序，营造安全放心的消费环境，切实维护广大师生利益。</w:t>
      </w:r>
    </w:p>
    <w:p w14:paraId="2066F77D">
      <w:pPr>
        <w:keepNext w:val="0"/>
        <w:keepLines w:val="0"/>
        <w:pageBreakBefore w:val="0"/>
        <w:kinsoku/>
        <w:wordWrap/>
        <w:overflowPunct/>
        <w:topLinePunct w:val="0"/>
        <w:autoSpaceDE/>
        <w:autoSpaceDN/>
        <w:bidi w:val="0"/>
        <w:snapToGrid/>
        <w:spacing w:line="54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4.服务水平好。</w:t>
      </w:r>
      <w:r>
        <w:rPr>
          <w:rFonts w:hint="eastAsia" w:ascii="仿宋_GB2312" w:hAnsi="仿宋_GB2312" w:eastAsia="仿宋_GB2312" w:cs="仿宋_GB2312"/>
          <w:sz w:val="32"/>
          <w:szCs w:val="32"/>
        </w:rPr>
        <w:t>积极开展微笑服务、礼貌接待、用心服务。定期或不定期组织检查在岗员工文明用语、仪容仪表，行为规范，保持衣着整洁、干净的服务形象。每月组织员工开展安全常识、服务标准、礼仪知识等培训教育，提升餐厅从业人员的综合素质。积极推广标准化、规范化建设，建立标准化服务窗口。定期召开座谈会听取师生意见和建议，根据师生的建议采取积极措施改善就餐环境、产品及服务。</w:t>
      </w:r>
    </w:p>
    <w:p w14:paraId="564AE345">
      <w:pPr>
        <w:keepNext w:val="0"/>
        <w:keepLines w:val="0"/>
        <w:pageBreakBefore w:val="0"/>
        <w:kinsoku/>
        <w:wordWrap/>
        <w:overflowPunct/>
        <w:topLinePunct w:val="0"/>
        <w:autoSpaceDE/>
        <w:autoSpaceDN/>
        <w:bidi w:val="0"/>
        <w:snapToGrid/>
        <w:spacing w:line="54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5.饮食环境好。</w:t>
      </w:r>
      <w:r>
        <w:rPr>
          <w:rFonts w:hint="eastAsia" w:ascii="仿宋_GB2312" w:hAnsi="仿宋_GB2312" w:eastAsia="仿宋_GB2312" w:cs="仿宋_GB2312"/>
          <w:sz w:val="32"/>
          <w:szCs w:val="32"/>
        </w:rPr>
        <w:t>对环境和虫鼠害进行集中专项治理，加强防虫防鼠防蝇设备设施的检查，定期维护更新，堵塞设施漏洞。改善老旧设备和硬件设施，加强食堂的通风道、排烟道、下水道等区域防鼠网的设置和维护，加大下水道、排污管内残留食品的清洁力度和清理频次。安排专职人员维护餐厅的清洁、卫生，在师生用餐完及时清洁桌面，做到地面无垃圾、油污，墙面、屋顶无蛛网，餐桌椅整齐、清洁，就餐大厅干净、整洁、卫生。引导学生文明就餐，进餐厅时不争抢拥挤，不大声喧哗，不面对同学或桌上的食物咳嗽，定时开窗通风换气、保持室内空气清新，预防传播疾病。严禁非餐厅工作人员进入餐厅后堂。</w:t>
      </w:r>
    </w:p>
    <w:p w14:paraId="0A84A706">
      <w:pPr>
        <w:keepNext w:val="0"/>
        <w:keepLines w:val="0"/>
        <w:pageBreakBefore w:val="0"/>
        <w:kinsoku/>
        <w:wordWrap/>
        <w:overflowPunct/>
        <w:topLinePunct w:val="0"/>
        <w:autoSpaceDE/>
        <w:autoSpaceDN/>
        <w:bidi w:val="0"/>
        <w:snapToGrid/>
        <w:spacing w:line="540" w:lineRule="exact"/>
        <w:ind w:firstLine="643"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xml:space="preserve"> 学校文明食堂测评工作按照《安徽建筑大学文明食堂测评细则》（附件）执行。</w:t>
      </w:r>
    </w:p>
    <w:p w14:paraId="2A4F2137">
      <w:pPr>
        <w:keepNext w:val="0"/>
        <w:keepLines w:val="0"/>
        <w:pageBreakBefore w:val="0"/>
        <w:kinsoku/>
        <w:wordWrap/>
        <w:overflowPunct/>
        <w:topLinePunct w:val="0"/>
        <w:autoSpaceDE/>
        <w:autoSpaceDN/>
        <w:bidi w:val="0"/>
        <w:snapToGrid/>
        <w:spacing w:line="540" w:lineRule="exact"/>
        <w:jc w:val="center"/>
        <w:textAlignment w:val="auto"/>
        <w:rPr>
          <w:rFonts w:ascii="黑体" w:hAnsi="黑体" w:eastAsia="黑体" w:cs="黑体"/>
          <w:sz w:val="32"/>
          <w:szCs w:val="32"/>
        </w:rPr>
      </w:pPr>
      <w:r>
        <w:rPr>
          <w:rFonts w:hint="eastAsia" w:ascii="黑体" w:hAnsi="黑体" w:eastAsia="黑体" w:cs="黑体"/>
          <w:sz w:val="32"/>
          <w:szCs w:val="32"/>
        </w:rPr>
        <w:t>第三章 申报推选</w:t>
      </w:r>
    </w:p>
    <w:p w14:paraId="0A9E75AA">
      <w:pPr>
        <w:keepNext w:val="0"/>
        <w:keepLines w:val="0"/>
        <w:pageBreakBefore w:val="0"/>
        <w:widowControl/>
        <w:kinsoku/>
        <w:wordWrap/>
        <w:overflowPunct/>
        <w:topLinePunct w:val="0"/>
        <w:autoSpaceDE/>
        <w:autoSpaceDN/>
        <w:bidi w:val="0"/>
        <w:adjustRightInd w:val="0"/>
        <w:snapToGrid/>
        <w:spacing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xml:space="preserve"> 文明食堂原则上每三年评选一次，首次评选周期为2022-2024年，评选名额根据学校食堂数量、创建水平等方面的综合情况，由学校精神文明建设指导委员会研究确定。</w:t>
      </w:r>
    </w:p>
    <w:p w14:paraId="7CAA405A">
      <w:pPr>
        <w:keepNext w:val="0"/>
        <w:keepLines w:val="0"/>
        <w:pageBreakBefore w:val="0"/>
        <w:kinsoku/>
        <w:wordWrap/>
        <w:overflowPunct/>
        <w:topLinePunct w:val="0"/>
        <w:autoSpaceDE/>
        <w:autoSpaceDN/>
        <w:bidi w:val="0"/>
        <w:snapToGrid/>
        <w:spacing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sz w:val="32"/>
          <w:szCs w:val="32"/>
        </w:rPr>
        <w:t xml:space="preserve"> 申报工作按照自我检查、自愿申报、逐级推荐、复查审核、公示、审议确定的程序进行。各食堂对照《测评细则》进行自查，按照自愿原则申报，后勤管理处餐饮管理科对申报食堂进行初评，公示无异议后向后勤管理处推荐；后勤管理处组织对申报食堂进行审核、测评，由学校文明校园创建工作领导小组</w:t>
      </w:r>
      <w:r>
        <w:rPr>
          <w:rFonts w:hint="eastAsia" w:ascii="仿宋_GB2312" w:hAnsi="仿宋_GB2312" w:eastAsia="仿宋_GB2312" w:cs="仿宋_GB2312"/>
          <w:kern w:val="0"/>
          <w:sz w:val="32"/>
          <w:szCs w:val="32"/>
        </w:rPr>
        <w:t>审定，经</w:t>
      </w:r>
      <w:r>
        <w:rPr>
          <w:rFonts w:hint="eastAsia" w:ascii="仿宋_GB2312" w:hAnsi="仿宋_GB2312" w:eastAsia="仿宋_GB2312" w:cs="仿宋_GB2312"/>
          <w:sz w:val="32"/>
          <w:szCs w:val="32"/>
        </w:rPr>
        <w:t>公示无异议后颁发“文明食堂”奖牌。</w:t>
      </w:r>
    </w:p>
    <w:p w14:paraId="0D8C9159">
      <w:pPr>
        <w:keepNext w:val="0"/>
        <w:keepLines w:val="0"/>
        <w:pageBreakBefore w:val="0"/>
        <w:kinsoku/>
        <w:wordWrap/>
        <w:overflowPunct/>
        <w:topLinePunct w:val="0"/>
        <w:autoSpaceDE/>
        <w:autoSpaceDN/>
        <w:bidi w:val="0"/>
        <w:snapToGrid/>
        <w:spacing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第八条 </w:t>
      </w:r>
      <w:r>
        <w:rPr>
          <w:rFonts w:hint="eastAsia" w:ascii="仿宋_GB2312" w:hAnsi="仿宋_GB2312" w:eastAsia="仿宋_GB2312" w:cs="仿宋_GB2312"/>
          <w:sz w:val="32"/>
          <w:szCs w:val="32"/>
        </w:rPr>
        <w:t>推选要严格按照程序进行，严禁弄虚作假，坚决杜绝形式主义、官僚主义，确保评选工作严谨细致、风清气正。</w:t>
      </w:r>
    </w:p>
    <w:p w14:paraId="69D10D44">
      <w:pPr>
        <w:keepNext w:val="0"/>
        <w:keepLines w:val="0"/>
        <w:pageBreakBefore w:val="0"/>
        <w:kinsoku/>
        <w:wordWrap/>
        <w:overflowPunct/>
        <w:topLinePunct w:val="0"/>
        <w:autoSpaceDE/>
        <w:autoSpaceDN/>
        <w:bidi w:val="0"/>
        <w:snapToGrid/>
        <w:spacing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rPr>
        <w:t xml:space="preserve"> 创建周期内有以下情形之一的，取消当届推选资格：</w:t>
      </w:r>
    </w:p>
    <w:p w14:paraId="37592760">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1.主要管理人员在服务期出现严重违纪、违法行为；</w:t>
      </w:r>
    </w:p>
    <w:p w14:paraId="4BA0356A">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2.党的建设和意识形态工作出现严重问题;</w:t>
      </w:r>
    </w:p>
    <w:p w14:paraId="61C6C5EA">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3.有影响学校稳定的重大事故、重大不诚信事件、重大群体性责任事件;</w:t>
      </w:r>
    </w:p>
    <w:p w14:paraId="7296BD99">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4.有重大安全责任事故、重大消防责任事故、重大食物中毒事件、重大校园环境安全事件；</w:t>
      </w:r>
    </w:p>
    <w:p w14:paraId="30118F47">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5.有造成重大影响的员工违法犯罪案件；</w:t>
      </w:r>
    </w:p>
    <w:p w14:paraId="795EE66D">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6.员工中有严重违反学校管理规定的行为，造成恶劣影响。</w:t>
      </w:r>
    </w:p>
    <w:p w14:paraId="6BB3D075">
      <w:pPr>
        <w:keepNext w:val="0"/>
        <w:keepLines w:val="0"/>
        <w:pageBreakBefore w:val="0"/>
        <w:kinsoku/>
        <w:wordWrap/>
        <w:overflowPunct/>
        <w:topLinePunct w:val="0"/>
        <w:autoSpaceDE/>
        <w:autoSpaceDN/>
        <w:bidi w:val="0"/>
        <w:snapToGrid/>
        <w:spacing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第十条 </w:t>
      </w:r>
      <w:r>
        <w:rPr>
          <w:rFonts w:hint="eastAsia" w:ascii="仿宋_GB2312" w:hAnsi="仿宋_GB2312" w:eastAsia="仿宋_GB2312" w:cs="仿宋_GB2312"/>
          <w:sz w:val="32"/>
          <w:szCs w:val="32"/>
        </w:rPr>
        <w:t>文明食堂每届期满后需进行复查。复查由文明食堂提出申请，后勤管理处组织复查，公示无异议后由学校文明校园创建工作领导小组审议认定，重新颁发奖牌。文明食堂每届期满后未提出复查申请的，视为自动放弃。</w:t>
      </w:r>
    </w:p>
    <w:p w14:paraId="0DE2B0E5">
      <w:pPr>
        <w:keepNext w:val="0"/>
        <w:keepLines w:val="0"/>
        <w:pageBreakBefore w:val="0"/>
        <w:kinsoku/>
        <w:wordWrap/>
        <w:overflowPunct/>
        <w:topLinePunct w:val="0"/>
        <w:autoSpaceDE/>
        <w:autoSpaceDN/>
        <w:bidi w:val="0"/>
        <w:snapToGrid/>
        <w:spacing w:line="540" w:lineRule="exact"/>
        <w:jc w:val="center"/>
        <w:textAlignment w:val="auto"/>
        <w:rPr>
          <w:rFonts w:ascii="黑体" w:hAnsi="黑体" w:eastAsia="黑体" w:cs="黑体"/>
          <w:b/>
          <w:bCs/>
          <w:sz w:val="32"/>
          <w:szCs w:val="32"/>
        </w:rPr>
      </w:pPr>
      <w:r>
        <w:rPr>
          <w:rFonts w:hint="eastAsia" w:ascii="黑体" w:hAnsi="黑体" w:eastAsia="黑体" w:cs="黑体"/>
          <w:sz w:val="32"/>
          <w:szCs w:val="32"/>
        </w:rPr>
        <w:t>第四章 日常管理</w:t>
      </w:r>
    </w:p>
    <w:p w14:paraId="43C89DA1">
      <w:pPr>
        <w:keepNext w:val="0"/>
        <w:keepLines w:val="0"/>
        <w:pageBreakBefore w:val="0"/>
        <w:kinsoku/>
        <w:wordWrap/>
        <w:overflowPunct/>
        <w:topLinePunct w:val="0"/>
        <w:autoSpaceDE/>
        <w:autoSpaceDN/>
        <w:bidi w:val="0"/>
        <w:snapToGrid/>
        <w:spacing w:line="540" w:lineRule="exact"/>
        <w:ind w:firstLine="643" w:firstLineChars="200"/>
        <w:textAlignment w:val="auto"/>
        <w:rPr>
          <w:rFonts w:ascii="黑体" w:hAnsi="黑体" w:eastAsia="黑体" w:cs="黑体"/>
          <w:sz w:val="32"/>
          <w:szCs w:val="32"/>
        </w:rPr>
      </w:pPr>
      <w:r>
        <w:rPr>
          <w:rFonts w:hint="eastAsia" w:ascii="仿宋" w:hAnsi="仿宋" w:eastAsia="仿宋" w:cs="仿宋"/>
          <w:b/>
          <w:bCs/>
          <w:sz w:val="32"/>
          <w:szCs w:val="32"/>
        </w:rPr>
        <w:t>第十一条</w:t>
      </w:r>
      <w:r>
        <w:rPr>
          <w:rFonts w:hint="eastAsia" w:ascii="仿宋" w:hAnsi="仿宋" w:eastAsia="仿宋" w:cs="仿宋"/>
          <w:sz w:val="32"/>
          <w:szCs w:val="32"/>
        </w:rPr>
        <w:t xml:space="preserve"> 文明食堂由学校</w:t>
      </w:r>
      <w:r>
        <w:rPr>
          <w:rFonts w:hint="eastAsia" w:ascii="仿宋_GB2312" w:hAnsi="仿宋_GB2312" w:eastAsia="仿宋_GB2312" w:cs="仿宋_GB2312"/>
          <w:sz w:val="32"/>
          <w:szCs w:val="32"/>
        </w:rPr>
        <w:t>文明校园创建工作领导小组</w:t>
      </w:r>
      <w:r>
        <w:rPr>
          <w:rFonts w:hint="eastAsia" w:ascii="仿宋" w:hAnsi="仿宋" w:eastAsia="仿宋" w:cs="仿宋"/>
          <w:sz w:val="32"/>
          <w:szCs w:val="32"/>
        </w:rPr>
        <w:t>动态管理，后勤管理处适时组织人员对已授牌文明食堂进行暗访抽查,对发现问题进行及时通报整改。</w:t>
      </w:r>
    </w:p>
    <w:p w14:paraId="290EA155">
      <w:pPr>
        <w:keepNext w:val="0"/>
        <w:keepLines w:val="0"/>
        <w:pageBreakBefore w:val="0"/>
        <w:kinsoku/>
        <w:wordWrap/>
        <w:overflowPunct/>
        <w:topLinePunct w:val="0"/>
        <w:autoSpaceDE/>
        <w:autoSpaceDN/>
        <w:bidi w:val="0"/>
        <w:snapToGrid/>
        <w:spacing w:line="540" w:lineRule="exact"/>
        <w:ind w:firstLine="643" w:firstLineChars="200"/>
        <w:textAlignment w:val="auto"/>
        <w:rPr>
          <w:rFonts w:ascii="仿宋_GB2312" w:hAnsi="仿宋_GB2312" w:eastAsia="仿宋_GB2312" w:cs="仿宋_GB2312"/>
          <w:b/>
          <w:bCs/>
          <w:sz w:val="32"/>
          <w:szCs w:val="32"/>
        </w:rPr>
      </w:pPr>
      <w:r>
        <w:rPr>
          <w:rFonts w:hint="eastAsia" w:ascii="仿宋" w:hAnsi="仿宋" w:eastAsia="仿宋" w:cs="仿宋"/>
          <w:b/>
          <w:bCs/>
          <w:sz w:val="32"/>
          <w:szCs w:val="32"/>
        </w:rPr>
        <w:t xml:space="preserve">第十二条 </w:t>
      </w:r>
      <w:r>
        <w:rPr>
          <w:rFonts w:hint="eastAsia" w:ascii="仿宋" w:hAnsi="仿宋" w:eastAsia="仿宋" w:cs="仿宋"/>
          <w:sz w:val="32"/>
          <w:szCs w:val="32"/>
        </w:rPr>
        <w:t>已获得“文明食堂”荣誉的单位发生本办法第九条所列情形之一的，经学校</w:t>
      </w:r>
      <w:r>
        <w:rPr>
          <w:rFonts w:hint="eastAsia" w:ascii="仿宋_GB2312" w:hAnsi="仿宋_GB2312" w:eastAsia="仿宋_GB2312" w:cs="仿宋_GB2312"/>
          <w:sz w:val="32"/>
          <w:szCs w:val="32"/>
        </w:rPr>
        <w:t>文明校园创建工作领导小组</w:t>
      </w:r>
      <w:r>
        <w:rPr>
          <w:rFonts w:hint="eastAsia" w:ascii="仿宋" w:hAnsi="仿宋" w:eastAsia="仿宋" w:cs="仿宋"/>
          <w:sz w:val="32"/>
          <w:szCs w:val="32"/>
        </w:rPr>
        <w:t>审议撤销荣誉并收回奖牌。</w:t>
      </w:r>
    </w:p>
    <w:p w14:paraId="4F4F5CF7">
      <w:pPr>
        <w:keepNext w:val="0"/>
        <w:keepLines w:val="0"/>
        <w:pageBreakBefore w:val="0"/>
        <w:kinsoku/>
        <w:wordWrap/>
        <w:overflowPunct/>
        <w:topLinePunct w:val="0"/>
        <w:autoSpaceDE/>
        <w:autoSpaceDN/>
        <w:bidi w:val="0"/>
        <w:snapToGrid/>
        <w:spacing w:line="540" w:lineRule="exact"/>
        <w:ind w:firstLine="643" w:firstLineChars="200"/>
        <w:textAlignment w:val="auto"/>
        <w:rPr>
          <w:rFonts w:ascii="仿宋" w:hAnsi="仿宋" w:eastAsia="仿宋" w:cs="仿宋"/>
          <w:sz w:val="32"/>
          <w:szCs w:val="32"/>
        </w:rPr>
      </w:pPr>
      <w:r>
        <w:rPr>
          <w:rFonts w:hint="eastAsia" w:ascii="仿宋" w:hAnsi="仿宋" w:eastAsia="仿宋" w:cs="仿宋"/>
          <w:b/>
          <w:bCs/>
          <w:sz w:val="32"/>
          <w:szCs w:val="32"/>
        </w:rPr>
        <w:t xml:space="preserve">第十三条 </w:t>
      </w:r>
      <w:r>
        <w:rPr>
          <w:rFonts w:hint="eastAsia" w:ascii="仿宋" w:hAnsi="仿宋" w:eastAsia="仿宋" w:cs="仿宋"/>
          <w:sz w:val="32"/>
          <w:szCs w:val="32"/>
        </w:rPr>
        <w:t>文明食堂奖牌由学校统一设计、制作。获得荣誉的食堂要加强对奖牌的日常维护管理，防止丢失和损坏。</w:t>
      </w:r>
    </w:p>
    <w:p w14:paraId="3A5040BC">
      <w:pPr>
        <w:keepNext w:val="0"/>
        <w:keepLines w:val="0"/>
        <w:pageBreakBefore w:val="0"/>
        <w:kinsoku/>
        <w:wordWrap/>
        <w:overflowPunct/>
        <w:topLinePunct w:val="0"/>
        <w:autoSpaceDE/>
        <w:autoSpaceDN/>
        <w:bidi w:val="0"/>
        <w:snapToGrid/>
        <w:spacing w:line="540" w:lineRule="exact"/>
        <w:ind w:firstLine="643" w:firstLineChars="200"/>
        <w:textAlignment w:val="auto"/>
        <w:rPr>
          <w:rFonts w:ascii="仿宋_GB2312" w:hAnsi="仿宋_GB2312" w:eastAsia="仿宋_GB2312" w:cs="仿宋_GB2312"/>
          <w:sz w:val="32"/>
          <w:szCs w:val="32"/>
        </w:rPr>
      </w:pPr>
      <w:r>
        <w:rPr>
          <w:rFonts w:hint="eastAsia" w:ascii="仿宋" w:hAnsi="仿宋" w:eastAsia="仿宋" w:cs="仿宋"/>
          <w:b/>
          <w:bCs/>
          <w:sz w:val="32"/>
          <w:szCs w:val="32"/>
        </w:rPr>
        <w:t xml:space="preserve">第十四条 </w:t>
      </w:r>
      <w:r>
        <w:rPr>
          <w:rFonts w:hint="eastAsia" w:ascii="仿宋_GB2312" w:hAnsi="仿宋_GB2312" w:eastAsia="仿宋_GB2312" w:cs="仿宋_GB2312"/>
          <w:sz w:val="32"/>
          <w:szCs w:val="32"/>
        </w:rPr>
        <w:t>各食堂要严格履行创建活动主体责任，将文明创建纳入年度重点工作任务,认真摸排存在的问题，研究具体措施加以解决。建立健全食堂经理负总责，全体员工共同参与的工作机制，广泛开展参与形式多样的创建活动。</w:t>
      </w:r>
    </w:p>
    <w:p w14:paraId="40B29136">
      <w:pPr>
        <w:keepNext w:val="0"/>
        <w:keepLines w:val="0"/>
        <w:pageBreakBefore w:val="0"/>
        <w:numPr>
          <w:ilvl w:val="255"/>
          <w:numId w:val="0"/>
        </w:numPr>
        <w:kinsoku/>
        <w:wordWrap/>
        <w:overflowPunct/>
        <w:topLinePunct w:val="0"/>
        <w:autoSpaceDE/>
        <w:autoSpaceDN/>
        <w:bidi w:val="0"/>
        <w:snapToGrid/>
        <w:spacing w:line="540" w:lineRule="exact"/>
        <w:jc w:val="center"/>
        <w:textAlignment w:val="auto"/>
        <w:rPr>
          <w:rFonts w:hint="eastAsia" w:ascii="黑体" w:hAnsi="黑体" w:eastAsia="黑体" w:cs="黑体"/>
          <w:sz w:val="32"/>
          <w:szCs w:val="32"/>
        </w:rPr>
      </w:pPr>
    </w:p>
    <w:p w14:paraId="40DBE341">
      <w:pPr>
        <w:keepNext w:val="0"/>
        <w:keepLines w:val="0"/>
        <w:pageBreakBefore w:val="0"/>
        <w:numPr>
          <w:ilvl w:val="255"/>
          <w:numId w:val="0"/>
        </w:numPr>
        <w:kinsoku/>
        <w:wordWrap/>
        <w:overflowPunct/>
        <w:topLinePunct w:val="0"/>
        <w:autoSpaceDE/>
        <w:autoSpaceDN/>
        <w:bidi w:val="0"/>
        <w:snapToGrid/>
        <w:spacing w:line="540" w:lineRule="exact"/>
        <w:jc w:val="center"/>
        <w:textAlignment w:val="auto"/>
        <w:rPr>
          <w:rFonts w:ascii="仿宋_GB2312" w:hAnsi="仿宋_GB2312" w:eastAsia="仿宋_GB2312" w:cs="仿宋_GB2312"/>
          <w:sz w:val="32"/>
          <w:szCs w:val="32"/>
        </w:rPr>
      </w:pPr>
      <w:r>
        <w:rPr>
          <w:rFonts w:hint="eastAsia" w:ascii="黑体" w:hAnsi="黑体" w:eastAsia="黑体" w:cs="黑体"/>
          <w:sz w:val="32"/>
          <w:szCs w:val="32"/>
        </w:rPr>
        <w:t>第五章 附  则</w:t>
      </w:r>
    </w:p>
    <w:p w14:paraId="140775FE">
      <w:pPr>
        <w:keepNext w:val="0"/>
        <w:keepLines w:val="0"/>
        <w:pageBreakBefore w:val="0"/>
        <w:kinsoku/>
        <w:wordWrap/>
        <w:overflowPunct/>
        <w:topLinePunct w:val="0"/>
        <w:autoSpaceDE/>
        <w:autoSpaceDN/>
        <w:bidi w:val="0"/>
        <w:snapToGrid/>
        <w:spacing w:line="540" w:lineRule="exact"/>
        <w:ind w:firstLine="643" w:firstLineChars="200"/>
        <w:textAlignment w:val="auto"/>
        <w:rPr>
          <w:rFonts w:ascii="仿宋_GB2312" w:hAnsi="仿宋_GB2312" w:eastAsia="仿宋_GB2312" w:cs="仿宋_GB2312"/>
          <w:sz w:val="32"/>
          <w:szCs w:val="32"/>
        </w:rPr>
      </w:pPr>
      <w:r>
        <w:rPr>
          <w:rFonts w:hint="eastAsia" w:ascii="仿宋" w:hAnsi="仿宋" w:eastAsia="仿宋" w:cs="仿宋"/>
          <w:b/>
          <w:bCs/>
          <w:sz w:val="32"/>
          <w:szCs w:val="32"/>
        </w:rPr>
        <w:t xml:space="preserve">第十五条 </w:t>
      </w:r>
      <w:r>
        <w:rPr>
          <w:rFonts w:hint="eastAsia" w:ascii="仿宋_GB2312" w:hAnsi="仿宋_GB2312" w:eastAsia="仿宋_GB2312" w:cs="仿宋_GB2312"/>
          <w:sz w:val="32"/>
          <w:szCs w:val="32"/>
        </w:rPr>
        <w:t>本方案自发布之日起施行,由后勤管理处负责解释。</w:t>
      </w:r>
    </w:p>
    <w:p w14:paraId="3EEB61AE">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附件：《安徽建筑大学文明食堂测评细则》</w:t>
      </w:r>
    </w:p>
    <w:p w14:paraId="6A8FF45F">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74491B39">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1EF0089E">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2723790A">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1FDA59B0">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0519A548">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600C8BC2">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30DD2BC4">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31F0C810">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633500D5">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4A28E569">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5ACFB1A3">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7294457F">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2178CEFA">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5FB6CA14">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6AD2FEBF">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6FB160AD">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59241734">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21D8E31D">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5290C834">
      <w:pPr>
        <w:keepNext w:val="0"/>
        <w:keepLines w:val="0"/>
        <w:pageBreakBefore w:val="0"/>
        <w:kinsoku/>
        <w:wordWrap/>
        <w:overflowPunct/>
        <w:topLinePunct w:val="0"/>
        <w:autoSpaceDE/>
        <w:autoSpaceDN/>
        <w:bidi w:val="0"/>
        <w:snapToGrid/>
        <w:spacing w:line="540" w:lineRule="exact"/>
        <w:ind w:firstLine="640" w:firstLineChars="200"/>
        <w:textAlignment w:val="auto"/>
        <w:rPr>
          <w:rFonts w:hint="eastAsia" w:ascii="仿宋_GB2312" w:hAnsi="仿宋_GB2312" w:eastAsia="仿宋_GB2312" w:cs="仿宋_GB2312"/>
          <w:sz w:val="32"/>
          <w:szCs w:val="32"/>
        </w:rPr>
      </w:pPr>
    </w:p>
    <w:p w14:paraId="63429A79">
      <w:pPr>
        <w:keepNext w:val="0"/>
        <w:keepLines w:val="0"/>
        <w:pageBreakBefore w:val="0"/>
        <w:kinsoku/>
        <w:wordWrap/>
        <w:overflowPunct/>
        <w:topLinePunct w:val="0"/>
        <w:autoSpaceDE/>
        <w:autoSpaceDN/>
        <w:bidi w:val="0"/>
        <w:snapToGrid/>
        <w:spacing w:line="540" w:lineRule="exact"/>
        <w:textAlignment w:val="auto"/>
        <w:rPr>
          <w:rFonts w:hint="eastAsia" w:ascii="仿宋_GB2312" w:hAnsi="仿宋_GB2312" w:eastAsia="仿宋_GB2312" w:cs="仿宋_GB2312"/>
          <w:sz w:val="32"/>
          <w:szCs w:val="32"/>
        </w:rPr>
        <w:sectPr>
          <w:pgSz w:w="11906" w:h="16838"/>
          <w:pgMar w:top="1440" w:right="1800" w:bottom="1440" w:left="1800" w:header="851" w:footer="992" w:gutter="0"/>
          <w:cols w:space="425" w:num="1"/>
          <w:docGrid w:type="lines" w:linePitch="312" w:charSpace="0"/>
        </w:sectPr>
      </w:pPr>
    </w:p>
    <w:p w14:paraId="28762B06">
      <w:pPr>
        <w:keepNext w:val="0"/>
        <w:keepLines w:val="0"/>
        <w:pageBreakBefore w:val="0"/>
        <w:kinsoku/>
        <w:wordWrap/>
        <w:overflowPunct/>
        <w:topLinePunct w:val="0"/>
        <w:autoSpaceDE/>
        <w:autoSpaceDN/>
        <w:bidi w:val="0"/>
        <w:snapToGrid/>
        <w:spacing w:line="540" w:lineRule="exact"/>
        <w:textAlignment w:val="auto"/>
        <w:rPr>
          <w:rFonts w:hint="eastAsia" w:ascii="宋体" w:hAnsi="宋体" w:eastAsia="宋体" w:cs="宋体"/>
          <w:b/>
          <w:bCs w:val="0"/>
          <w:i w:val="0"/>
          <w:iCs w:val="0"/>
          <w:color w:val="000000"/>
          <w:kern w:val="0"/>
          <w:sz w:val="32"/>
          <w:szCs w:val="32"/>
          <w:u w:val="none"/>
          <w:lang w:val="en-US" w:eastAsia="zh-CN" w:bidi="ar"/>
        </w:rPr>
      </w:pPr>
      <w:r>
        <w:rPr>
          <w:rFonts w:hint="eastAsia" w:ascii="宋体" w:hAnsi="宋体" w:eastAsia="宋体" w:cs="宋体"/>
          <w:b/>
          <w:bCs w:val="0"/>
          <w:i w:val="0"/>
          <w:iCs w:val="0"/>
          <w:color w:val="000000"/>
          <w:kern w:val="0"/>
          <w:sz w:val="24"/>
          <w:szCs w:val="24"/>
          <w:u w:val="none"/>
          <w:lang w:val="en-US" w:eastAsia="zh-CN" w:bidi="ar"/>
        </w:rPr>
        <w:t xml:space="preserve">附件： </w:t>
      </w:r>
      <w:r>
        <w:rPr>
          <w:rFonts w:hint="eastAsia" w:ascii="宋体" w:hAnsi="宋体" w:eastAsia="宋体" w:cs="宋体"/>
          <w:b/>
          <w:bCs w:val="0"/>
          <w:i w:val="0"/>
          <w:iCs w:val="0"/>
          <w:color w:val="000000"/>
          <w:kern w:val="0"/>
          <w:sz w:val="32"/>
          <w:szCs w:val="32"/>
          <w:u w:val="none"/>
          <w:lang w:val="en-US" w:eastAsia="zh-CN" w:bidi="ar"/>
        </w:rPr>
        <w:t xml:space="preserve">                           </w:t>
      </w:r>
    </w:p>
    <w:p w14:paraId="6ED10524">
      <w:pPr>
        <w:keepNext w:val="0"/>
        <w:keepLines w:val="0"/>
        <w:pageBreakBefore w:val="0"/>
        <w:kinsoku/>
        <w:wordWrap/>
        <w:overflowPunct/>
        <w:topLinePunct w:val="0"/>
        <w:autoSpaceDE/>
        <w:autoSpaceDN/>
        <w:bidi w:val="0"/>
        <w:snapToGrid/>
        <w:spacing w:line="540" w:lineRule="exact"/>
        <w:jc w:val="center"/>
        <w:textAlignment w:val="auto"/>
        <w:rPr>
          <w:rFonts w:hint="eastAsia" w:ascii="仿宋_GB2312" w:hAnsi="仿宋_GB2312" w:eastAsia="仿宋_GB2312" w:cs="仿宋_GB2312"/>
          <w:sz w:val="32"/>
          <w:szCs w:val="32"/>
        </w:rPr>
      </w:pPr>
      <w:r>
        <w:rPr>
          <w:rFonts w:hint="eastAsia" w:ascii="宋体" w:hAnsi="宋体" w:eastAsia="宋体" w:cs="宋体"/>
          <w:b/>
          <w:bCs w:val="0"/>
          <w:i w:val="0"/>
          <w:iCs w:val="0"/>
          <w:color w:val="000000"/>
          <w:kern w:val="0"/>
          <w:sz w:val="32"/>
          <w:szCs w:val="32"/>
          <w:u w:val="none"/>
          <w:lang w:val="en-US" w:eastAsia="zh-CN" w:bidi="ar"/>
        </w:rPr>
        <w:t>安徽建筑大学文明食堂测评细则</w:t>
      </w:r>
    </w:p>
    <w:tbl>
      <w:tblPr>
        <w:tblStyle w:val="2"/>
        <w:tblW w:w="14182"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14"/>
        <w:gridCol w:w="10972"/>
        <w:gridCol w:w="1472"/>
        <w:gridCol w:w="824"/>
      </w:tblGrid>
      <w:tr w14:paraId="378B5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0" w:hRule="atLeast"/>
        </w:trPr>
        <w:tc>
          <w:tcPr>
            <w:tcW w:w="14182" w:type="dxa"/>
            <w:gridSpan w:val="4"/>
            <w:shd w:val="clear" w:color="auto" w:fill="FFFFFF"/>
            <w:noWrap/>
            <w:vAlign w:val="center"/>
          </w:tcPr>
          <w:p w14:paraId="4A7E295C">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bCs w:val="0"/>
                <w:i w:val="0"/>
                <w:iCs w:val="0"/>
                <w:color w:val="000000"/>
                <w:sz w:val="22"/>
                <w:szCs w:val="22"/>
                <w:u w:val="none"/>
              </w:rPr>
            </w:pPr>
            <w:r>
              <w:rPr>
                <w:rFonts w:hint="eastAsia" w:ascii="宋体" w:hAnsi="宋体" w:eastAsia="宋体" w:cs="宋体"/>
                <w:b/>
                <w:bCs w:val="0"/>
                <w:i w:val="0"/>
                <w:iCs w:val="0"/>
                <w:color w:val="000000"/>
                <w:kern w:val="0"/>
                <w:sz w:val="24"/>
                <w:szCs w:val="24"/>
                <w:u w:val="none"/>
                <w:lang w:val="en-US" w:eastAsia="zh-CN" w:bidi="ar"/>
              </w:rPr>
              <w:t>一、基本指标</w:t>
            </w:r>
          </w:p>
        </w:tc>
      </w:tr>
      <w:tr w14:paraId="408B5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9" w:hRule="atLeast"/>
        </w:trPr>
        <w:tc>
          <w:tcPr>
            <w:tcW w:w="914" w:type="dxa"/>
            <w:shd w:val="clear" w:color="auto" w:fill="FFFFFF"/>
            <w:vAlign w:val="center"/>
          </w:tcPr>
          <w:p w14:paraId="4FF7CE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val="0"/>
                <w:i w:val="0"/>
                <w:iCs w:val="0"/>
                <w:color w:val="000000"/>
                <w:sz w:val="24"/>
                <w:szCs w:val="24"/>
                <w:u w:val="none"/>
              </w:rPr>
            </w:pPr>
            <w:r>
              <w:rPr>
                <w:rFonts w:hint="eastAsia" w:ascii="宋体" w:hAnsi="宋体" w:eastAsia="宋体" w:cs="宋体"/>
                <w:b/>
                <w:bCs w:val="0"/>
                <w:i w:val="0"/>
                <w:iCs w:val="0"/>
                <w:color w:val="000000"/>
                <w:kern w:val="0"/>
                <w:sz w:val="24"/>
                <w:szCs w:val="24"/>
                <w:u w:val="none"/>
                <w:lang w:val="en-US" w:eastAsia="zh-CN" w:bidi="ar"/>
              </w:rPr>
              <w:t>指标</w:t>
            </w:r>
          </w:p>
        </w:tc>
        <w:tc>
          <w:tcPr>
            <w:tcW w:w="10972" w:type="dxa"/>
            <w:shd w:val="clear" w:color="auto" w:fill="FFFFFF"/>
            <w:vAlign w:val="center"/>
          </w:tcPr>
          <w:p w14:paraId="09BEFF7E">
            <w:pPr>
              <w:keepNext w:val="0"/>
              <w:keepLines w:val="0"/>
              <w:pageBreakBefore w:val="0"/>
              <w:widowControl/>
              <w:suppressLineNumbers w:val="0"/>
              <w:tabs>
                <w:tab w:val="left" w:pos="470"/>
                <w:tab w:val="center" w:pos="5211"/>
              </w:tabs>
              <w:kinsoku/>
              <w:wordWrap/>
              <w:overflowPunct/>
              <w:topLinePunct w:val="0"/>
              <w:autoSpaceDE/>
              <w:autoSpaceDN/>
              <w:bidi w:val="0"/>
              <w:adjustRightInd/>
              <w:snapToGrid/>
              <w:spacing w:line="240" w:lineRule="exact"/>
              <w:jc w:val="left"/>
              <w:textAlignment w:val="center"/>
              <w:rPr>
                <w:rFonts w:hint="eastAsia" w:ascii="宋体" w:hAnsi="宋体" w:eastAsia="宋体" w:cs="宋体"/>
                <w:b/>
                <w:bCs w:val="0"/>
                <w:i w:val="0"/>
                <w:iCs w:val="0"/>
                <w:color w:val="000000"/>
                <w:sz w:val="24"/>
                <w:szCs w:val="24"/>
                <w:u w:val="none"/>
              </w:rPr>
            </w:pPr>
            <w:r>
              <w:rPr>
                <w:rFonts w:hint="eastAsia" w:ascii="宋体" w:hAnsi="宋体" w:eastAsia="宋体" w:cs="宋体"/>
                <w:b/>
                <w:bCs w:val="0"/>
                <w:i w:val="0"/>
                <w:iCs w:val="0"/>
                <w:color w:val="000000"/>
                <w:kern w:val="0"/>
                <w:sz w:val="24"/>
                <w:szCs w:val="24"/>
                <w:u w:val="none"/>
                <w:lang w:val="en-US" w:eastAsia="zh-CN" w:bidi="ar"/>
              </w:rPr>
              <w:tab/>
            </w:r>
            <w:r>
              <w:rPr>
                <w:rFonts w:hint="eastAsia" w:ascii="宋体" w:hAnsi="宋体" w:eastAsia="宋体" w:cs="宋体"/>
                <w:b/>
                <w:bCs w:val="0"/>
                <w:i w:val="0"/>
                <w:iCs w:val="0"/>
                <w:color w:val="000000"/>
                <w:kern w:val="0"/>
                <w:sz w:val="24"/>
                <w:szCs w:val="24"/>
                <w:u w:val="none"/>
                <w:lang w:val="en-US" w:eastAsia="zh-CN" w:bidi="ar"/>
              </w:rPr>
              <w:tab/>
            </w:r>
            <w:r>
              <w:rPr>
                <w:rFonts w:hint="eastAsia" w:ascii="宋体" w:hAnsi="宋体" w:eastAsia="宋体" w:cs="宋体"/>
                <w:b/>
                <w:bCs w:val="0"/>
                <w:i w:val="0"/>
                <w:iCs w:val="0"/>
                <w:color w:val="000000"/>
                <w:kern w:val="0"/>
                <w:sz w:val="24"/>
                <w:szCs w:val="24"/>
                <w:u w:val="none"/>
                <w:lang w:val="en-US" w:eastAsia="zh-CN" w:bidi="ar"/>
              </w:rPr>
              <w:t>测评标准</w:t>
            </w:r>
          </w:p>
        </w:tc>
        <w:tc>
          <w:tcPr>
            <w:tcW w:w="1472" w:type="dxa"/>
            <w:shd w:val="clear" w:color="auto" w:fill="FFFFFF"/>
            <w:vAlign w:val="center"/>
          </w:tcPr>
          <w:p w14:paraId="319085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val="0"/>
                <w:i w:val="0"/>
                <w:iCs w:val="0"/>
                <w:color w:val="000000"/>
                <w:sz w:val="24"/>
                <w:szCs w:val="24"/>
                <w:u w:val="none"/>
              </w:rPr>
            </w:pPr>
            <w:r>
              <w:rPr>
                <w:rFonts w:hint="eastAsia" w:ascii="宋体" w:hAnsi="宋体" w:eastAsia="宋体" w:cs="宋体"/>
                <w:b/>
                <w:bCs w:val="0"/>
                <w:i w:val="0"/>
                <w:iCs w:val="0"/>
                <w:color w:val="000000"/>
                <w:kern w:val="0"/>
                <w:sz w:val="24"/>
                <w:szCs w:val="24"/>
                <w:u w:val="none"/>
                <w:lang w:val="en-US" w:eastAsia="zh-CN" w:bidi="ar"/>
              </w:rPr>
              <w:t>测评方式</w:t>
            </w:r>
          </w:p>
        </w:tc>
        <w:tc>
          <w:tcPr>
            <w:tcW w:w="824" w:type="dxa"/>
            <w:shd w:val="clear" w:color="auto" w:fill="FFFFFF"/>
            <w:noWrap/>
            <w:vAlign w:val="center"/>
          </w:tcPr>
          <w:p w14:paraId="677944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val="0"/>
                <w:i w:val="0"/>
                <w:iCs w:val="0"/>
                <w:color w:val="000000"/>
                <w:sz w:val="22"/>
                <w:szCs w:val="22"/>
                <w:u w:val="none"/>
              </w:rPr>
            </w:pPr>
            <w:r>
              <w:rPr>
                <w:rFonts w:hint="eastAsia" w:ascii="宋体" w:hAnsi="宋体" w:eastAsia="宋体" w:cs="宋体"/>
                <w:b/>
                <w:bCs w:val="0"/>
                <w:i w:val="0"/>
                <w:iCs w:val="0"/>
                <w:color w:val="000000"/>
                <w:kern w:val="0"/>
                <w:sz w:val="22"/>
                <w:szCs w:val="22"/>
                <w:u w:val="none"/>
                <w:lang w:val="en-US" w:eastAsia="zh-CN" w:bidi="ar"/>
              </w:rPr>
              <w:t>分值</w:t>
            </w:r>
          </w:p>
        </w:tc>
      </w:tr>
      <w:tr w14:paraId="384DA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914" w:type="dxa"/>
            <w:shd w:val="clear" w:color="auto" w:fill="FFFFFF"/>
            <w:vAlign w:val="center"/>
          </w:tcPr>
          <w:p w14:paraId="4E11A9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i w:val="0"/>
                <w:iCs w:val="0"/>
                <w:color w:val="000000"/>
                <w:sz w:val="24"/>
                <w:szCs w:val="24"/>
                <w:u w:val="none"/>
              </w:rPr>
            </w:pPr>
            <w:r>
              <w:rPr>
                <w:rFonts w:hint="eastAsia" w:ascii="宋体" w:hAnsi="宋体" w:eastAsia="宋体" w:cs="宋体"/>
                <w:b w:val="0"/>
                <w:bCs/>
                <w:i w:val="0"/>
                <w:iCs w:val="0"/>
                <w:color w:val="000000"/>
                <w:kern w:val="0"/>
                <w:sz w:val="24"/>
                <w:szCs w:val="24"/>
                <w:u w:val="none"/>
                <w:lang w:val="en-US" w:eastAsia="zh-CN" w:bidi="ar"/>
              </w:rPr>
              <w:t>1.思想道德好</w:t>
            </w:r>
          </w:p>
        </w:tc>
        <w:tc>
          <w:tcPr>
            <w:tcW w:w="10972" w:type="dxa"/>
            <w:shd w:val="clear" w:color="auto" w:fill="FFFFFF"/>
            <w:vAlign w:val="center"/>
          </w:tcPr>
          <w:p w14:paraId="5ADFCA7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1.持续深入学习习近平新时代中国特色社会主义思想。开展人员岗前培训和考核，强化理想信念教育，积极培育和践行社会主义核心价值观。（5分）</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2.做好法制宣传教育。开展法律、法规政策宣讲活动，依法经营，接受师生监督检查。（5分）</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3.以诚实守信，文明规范，公平公正为内容，建立优良的文明经营服务理念，签订文明经营承诺书，按照承诺书要求诚信经营。（5分）</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4.积极普及餐桌文明知识，广泛开展文明就餐宣传活动，在餐厅或餐桌醒目处悬挂张贴“适度点餐，文明就餐、合理消费、浪费可耻”等宣传标语提醒广大师生文明就餐。（5分）</w:t>
            </w:r>
          </w:p>
        </w:tc>
        <w:tc>
          <w:tcPr>
            <w:tcW w:w="1472" w:type="dxa"/>
            <w:shd w:val="clear" w:color="auto" w:fill="FFFFFF"/>
            <w:vAlign w:val="center"/>
          </w:tcPr>
          <w:p w14:paraId="4CAF53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1 、2 、3 材料审核   4 材料审核实地考察</w:t>
            </w:r>
          </w:p>
        </w:tc>
        <w:tc>
          <w:tcPr>
            <w:tcW w:w="824" w:type="dxa"/>
            <w:shd w:val="clear" w:color="auto" w:fill="FFFFFF"/>
            <w:noWrap/>
            <w:vAlign w:val="center"/>
          </w:tcPr>
          <w:p w14:paraId="3F1C06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lang w:val="en-US" w:eastAsia="zh-CN" w:bidi="ar"/>
              </w:rPr>
              <w:t>20</w:t>
            </w:r>
          </w:p>
        </w:tc>
      </w:tr>
      <w:tr w14:paraId="76C54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14" w:type="dxa"/>
            <w:shd w:val="clear" w:color="auto" w:fill="FFFFFF"/>
            <w:vAlign w:val="center"/>
          </w:tcPr>
          <w:p w14:paraId="368DC2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i w:val="0"/>
                <w:iCs w:val="0"/>
                <w:color w:val="000000"/>
                <w:sz w:val="24"/>
                <w:szCs w:val="24"/>
                <w:u w:val="none"/>
              </w:rPr>
            </w:pPr>
            <w:r>
              <w:rPr>
                <w:rFonts w:hint="eastAsia" w:ascii="宋体" w:hAnsi="宋体" w:eastAsia="宋体" w:cs="宋体"/>
                <w:b w:val="0"/>
                <w:bCs/>
                <w:i w:val="0"/>
                <w:iCs w:val="0"/>
                <w:color w:val="000000"/>
                <w:kern w:val="0"/>
                <w:sz w:val="24"/>
                <w:szCs w:val="24"/>
                <w:u w:val="none"/>
                <w:lang w:val="en-US" w:eastAsia="zh-CN" w:bidi="ar"/>
              </w:rPr>
              <w:t>2.食品安全好</w:t>
            </w:r>
          </w:p>
        </w:tc>
        <w:tc>
          <w:tcPr>
            <w:tcW w:w="10972" w:type="dxa"/>
            <w:shd w:val="clear" w:color="auto" w:fill="FFFFFF"/>
            <w:vAlign w:val="center"/>
          </w:tcPr>
          <w:p w14:paraId="25C79AD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1.深入贯彻落实习近平总书记关于食品安全的重要讲话和重要指示精神，全面落实“四个最严”要求，排查食品安全风险隐患，保障校园师生饮食安全。（5分）</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2.严格按照《餐饮服务食品安全操作规范》《学校食品安全与营养健康管理规定》等文件要求，加强食品安全日常管理，健全完善人员管理、进货查验、加工操作、食品留样、信息公开等制度。（5分）</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3.针对晨检、食物储存、餐饮具清洗消毒、加工操作、食品留样、剩余食品处置等重点环节，对照《食品安全国家标准餐饮服务通用卫生规范》（GB31654-2021）和《餐饮服务食品安全操作规范》等要求，重点检查索证索票、进货查验、从业人员健康管理、食品留样等制度落实情况。（5分）</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4.落实食品安全管理制度并履行食品安全责任，将“日管控、周排查、月调度”工作机制深度嵌入食堂日常管理，严格执行食品安全法律法规各项制度，全过程规范操作。强化过程管控，充分利用技防手段推进食堂“明厨亮灶”提质扩面，做到加工操作全覆盖。（5分）</w:t>
            </w:r>
          </w:p>
        </w:tc>
        <w:tc>
          <w:tcPr>
            <w:tcW w:w="1472" w:type="dxa"/>
            <w:shd w:val="clear" w:color="auto" w:fill="FFFFFF"/>
            <w:vAlign w:val="center"/>
          </w:tcPr>
          <w:p w14:paraId="71784D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材料审核  实地考察</w:t>
            </w:r>
          </w:p>
        </w:tc>
        <w:tc>
          <w:tcPr>
            <w:tcW w:w="824" w:type="dxa"/>
            <w:shd w:val="clear" w:color="auto" w:fill="FFFFFF"/>
            <w:noWrap/>
            <w:vAlign w:val="center"/>
          </w:tcPr>
          <w:p w14:paraId="5B380C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lang w:val="en-US" w:eastAsia="zh-CN" w:bidi="ar"/>
              </w:rPr>
              <w:t>20</w:t>
            </w:r>
          </w:p>
        </w:tc>
      </w:tr>
      <w:tr w14:paraId="3BD1F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0" w:hRule="atLeast"/>
        </w:trPr>
        <w:tc>
          <w:tcPr>
            <w:tcW w:w="914" w:type="dxa"/>
            <w:shd w:val="clear" w:color="auto" w:fill="FFFFFF"/>
            <w:vAlign w:val="center"/>
          </w:tcPr>
          <w:p w14:paraId="50A8E6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i w:val="0"/>
                <w:iCs w:val="0"/>
                <w:color w:val="000000"/>
                <w:sz w:val="24"/>
                <w:szCs w:val="24"/>
                <w:u w:val="none"/>
              </w:rPr>
            </w:pPr>
            <w:r>
              <w:rPr>
                <w:rFonts w:hint="eastAsia" w:ascii="宋体" w:hAnsi="宋体" w:eastAsia="宋体" w:cs="宋体"/>
                <w:b w:val="0"/>
                <w:bCs/>
                <w:i w:val="0"/>
                <w:iCs w:val="0"/>
                <w:color w:val="000000"/>
                <w:kern w:val="0"/>
                <w:sz w:val="24"/>
                <w:szCs w:val="24"/>
                <w:u w:val="none"/>
                <w:lang w:val="en-US" w:eastAsia="zh-CN" w:bidi="ar"/>
              </w:rPr>
              <w:t>3.饭菜质量好</w:t>
            </w:r>
          </w:p>
        </w:tc>
        <w:tc>
          <w:tcPr>
            <w:tcW w:w="10972" w:type="dxa"/>
            <w:shd w:val="clear" w:color="auto" w:fill="FFFFFF"/>
            <w:vAlign w:val="center"/>
          </w:tcPr>
          <w:p w14:paraId="0512651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1.严格按照合同和服务承诺等约定守法经营，坚持正确办伙方向，即体现公益性又适应市场规律，以办好满足学生需求的基本大伙为重点。（5分）</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2.做好食堂饭菜明码标价，精准核算成本，坚持微利经营，稳定饭菜价格，确保菜品质价相符。（5分）</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3.坚持诚信经营，严把食品质量关，不生产、加工、销售假冒伪劣商品，不短斤少两、以次充好。（5分）</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4.真实标示产品质量信息，杜绝商业欺诈和虚假宣传行为，自觉规范经营秩序，营造安全放心的消费环境。（5分）</w:t>
            </w:r>
          </w:p>
        </w:tc>
        <w:tc>
          <w:tcPr>
            <w:tcW w:w="1472" w:type="dxa"/>
            <w:shd w:val="clear" w:color="auto" w:fill="FFFFFF"/>
            <w:vAlign w:val="center"/>
          </w:tcPr>
          <w:p w14:paraId="2CD67A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材料审核    实地考察</w:t>
            </w:r>
          </w:p>
        </w:tc>
        <w:tc>
          <w:tcPr>
            <w:tcW w:w="824" w:type="dxa"/>
            <w:shd w:val="clear" w:color="auto" w:fill="FFFFFF"/>
            <w:noWrap/>
            <w:vAlign w:val="center"/>
          </w:tcPr>
          <w:p w14:paraId="3FC5C2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lang w:val="en-US" w:eastAsia="zh-CN" w:bidi="ar"/>
              </w:rPr>
              <w:t>20</w:t>
            </w:r>
          </w:p>
        </w:tc>
      </w:tr>
      <w:tr w14:paraId="1E21D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24" w:hRule="atLeast"/>
        </w:trPr>
        <w:tc>
          <w:tcPr>
            <w:tcW w:w="914" w:type="dxa"/>
            <w:shd w:val="clear" w:color="auto" w:fill="FFFFFF"/>
            <w:vAlign w:val="center"/>
          </w:tcPr>
          <w:p w14:paraId="78BE7A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i w:val="0"/>
                <w:iCs w:val="0"/>
                <w:color w:val="000000"/>
                <w:sz w:val="24"/>
                <w:szCs w:val="24"/>
                <w:u w:val="none"/>
              </w:rPr>
            </w:pPr>
            <w:r>
              <w:rPr>
                <w:rFonts w:hint="eastAsia" w:ascii="宋体" w:hAnsi="宋体" w:eastAsia="宋体" w:cs="宋体"/>
                <w:b w:val="0"/>
                <w:bCs/>
                <w:i w:val="0"/>
                <w:iCs w:val="0"/>
                <w:color w:val="000000"/>
                <w:kern w:val="0"/>
                <w:sz w:val="24"/>
                <w:szCs w:val="24"/>
                <w:u w:val="none"/>
                <w:lang w:val="en-US" w:eastAsia="zh-CN" w:bidi="ar"/>
              </w:rPr>
              <w:t>4.服务水平好</w:t>
            </w:r>
          </w:p>
        </w:tc>
        <w:tc>
          <w:tcPr>
            <w:tcW w:w="10972" w:type="dxa"/>
            <w:shd w:val="clear" w:color="auto" w:fill="FFFFFF"/>
            <w:vAlign w:val="center"/>
          </w:tcPr>
          <w:p w14:paraId="553F2E1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1.积极开展微笑服务、礼貌接待、用心服务。定期或不定期组织检查在岗员工文明用语、仪容仪表，行为规范，保持衣着整洁、干净的服务形象。（5分）</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2.每月组织员工开展安全常识、服务标准、礼仪知识等培训教育，提升餐厅从业人员的综合素质。（5分）</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3.积极推广标准化、规范化建设，建立标准化服务窗口。（5分）</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4.定期召开座谈会听取师生意见和建议，根据师生的建议采取积极措施改善就餐环境、产品及服务。（5分）</w:t>
            </w:r>
          </w:p>
        </w:tc>
        <w:tc>
          <w:tcPr>
            <w:tcW w:w="1472" w:type="dxa"/>
            <w:shd w:val="clear" w:color="auto" w:fill="FFFFFF"/>
            <w:vAlign w:val="center"/>
          </w:tcPr>
          <w:p w14:paraId="46C426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 xml:space="preserve"> 材料审核 问卷调查</w:t>
            </w:r>
          </w:p>
        </w:tc>
        <w:tc>
          <w:tcPr>
            <w:tcW w:w="824" w:type="dxa"/>
            <w:shd w:val="clear" w:color="auto" w:fill="FFFFFF"/>
            <w:noWrap/>
            <w:vAlign w:val="center"/>
          </w:tcPr>
          <w:p w14:paraId="516FC9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lang w:val="en-US" w:eastAsia="zh-CN" w:bidi="ar"/>
              </w:rPr>
              <w:t>20</w:t>
            </w:r>
          </w:p>
        </w:tc>
      </w:tr>
      <w:tr w14:paraId="6B268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35" w:hRule="atLeast"/>
        </w:trPr>
        <w:tc>
          <w:tcPr>
            <w:tcW w:w="914" w:type="dxa"/>
            <w:shd w:val="clear" w:color="auto" w:fill="FFFFFF"/>
            <w:vAlign w:val="center"/>
          </w:tcPr>
          <w:p w14:paraId="23F3F4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i w:val="0"/>
                <w:iCs w:val="0"/>
                <w:color w:val="000000"/>
                <w:sz w:val="24"/>
                <w:szCs w:val="24"/>
                <w:u w:val="none"/>
              </w:rPr>
            </w:pPr>
            <w:r>
              <w:rPr>
                <w:rFonts w:hint="eastAsia" w:ascii="宋体" w:hAnsi="宋体" w:eastAsia="宋体" w:cs="宋体"/>
                <w:b w:val="0"/>
                <w:bCs/>
                <w:i w:val="0"/>
                <w:iCs w:val="0"/>
                <w:color w:val="000000"/>
                <w:kern w:val="0"/>
                <w:sz w:val="24"/>
                <w:szCs w:val="24"/>
                <w:u w:val="none"/>
                <w:lang w:val="en-US" w:eastAsia="zh-CN" w:bidi="ar"/>
              </w:rPr>
              <w:t>5.饮食环境好</w:t>
            </w:r>
          </w:p>
        </w:tc>
        <w:tc>
          <w:tcPr>
            <w:tcW w:w="10972" w:type="dxa"/>
            <w:shd w:val="clear" w:color="auto" w:fill="FFFFFF"/>
            <w:vAlign w:val="center"/>
          </w:tcPr>
          <w:p w14:paraId="4E2D1AA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1.对环境和虫鼠害进行集中专项治理，加强防虫防鼠防蝇设备设施的检查，定期维护更新，堵塞设施漏洞。（4分）</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2.改善老旧设备和硬件设施，加强食堂的通风道、排烟道、下水道等区域防鼠网的设置和维护，加大下水道、排污管内残留食品的清洁力度和清理频次。（4分）</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3.安排专职人员维护餐厅的清洁、卫生，在师生用餐完及时清洁桌面，做到地面无垃圾、油污，墙面、屋顶无蛛网，餐桌椅整齐、清洁，就餐大厅干净、整洁、卫生。（4分）</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4.引导学生文明就餐，进餐厅时不争抢拥挤，不大声喧哗，不面对同学或桌上的食物咳嗽，定时开窗通风换气、保持室内空气清新，预防传播疾病。（4分）</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5.严禁非餐厅工作人员进入餐厅后堂。（4分）</w:t>
            </w:r>
          </w:p>
        </w:tc>
        <w:tc>
          <w:tcPr>
            <w:tcW w:w="1472" w:type="dxa"/>
            <w:shd w:val="clear" w:color="auto" w:fill="FFFFFF"/>
            <w:vAlign w:val="center"/>
          </w:tcPr>
          <w:p w14:paraId="06DD2D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1、2、3   材料审核  问卷调查</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4、5</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实地考察</w:t>
            </w:r>
          </w:p>
        </w:tc>
        <w:tc>
          <w:tcPr>
            <w:tcW w:w="824" w:type="dxa"/>
            <w:shd w:val="clear" w:color="auto" w:fill="FFFFFF"/>
            <w:noWrap/>
            <w:vAlign w:val="center"/>
          </w:tcPr>
          <w:p w14:paraId="058BFD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lang w:val="en-US" w:eastAsia="zh-CN" w:bidi="ar"/>
              </w:rPr>
              <w:t>20</w:t>
            </w:r>
          </w:p>
        </w:tc>
      </w:tr>
      <w:tr w14:paraId="267C2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914" w:type="dxa"/>
            <w:tcBorders>
              <w:bottom w:val="single" w:color="auto" w:sz="4" w:space="0"/>
            </w:tcBorders>
            <w:shd w:val="clear" w:color="auto" w:fill="FFFFFF"/>
            <w:vAlign w:val="center"/>
          </w:tcPr>
          <w:p w14:paraId="6BCBA1D1">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val="0"/>
                <w:bCs/>
                <w:i w:val="0"/>
                <w:iCs w:val="0"/>
                <w:color w:val="000000"/>
                <w:sz w:val="24"/>
                <w:szCs w:val="24"/>
                <w:u w:val="none"/>
              </w:rPr>
            </w:pPr>
          </w:p>
        </w:tc>
        <w:tc>
          <w:tcPr>
            <w:tcW w:w="10972" w:type="dxa"/>
            <w:tcBorders>
              <w:bottom w:val="single" w:color="auto" w:sz="4" w:space="0"/>
            </w:tcBorders>
            <w:shd w:val="clear" w:color="auto" w:fill="FFFFFF"/>
            <w:noWrap/>
            <w:vAlign w:val="center"/>
          </w:tcPr>
          <w:p w14:paraId="6F245C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i w:val="0"/>
                <w:iCs w:val="0"/>
                <w:color w:val="000000"/>
                <w:sz w:val="24"/>
                <w:szCs w:val="24"/>
                <w:u w:val="none"/>
              </w:rPr>
            </w:pPr>
            <w:r>
              <w:rPr>
                <w:rFonts w:hint="eastAsia" w:ascii="宋体" w:hAnsi="宋体" w:eastAsia="宋体" w:cs="宋体"/>
                <w:b w:val="0"/>
                <w:bCs/>
                <w:i w:val="0"/>
                <w:iCs w:val="0"/>
                <w:color w:val="000000"/>
                <w:kern w:val="0"/>
                <w:sz w:val="24"/>
                <w:szCs w:val="24"/>
                <w:u w:val="none"/>
                <w:lang w:val="en-US" w:eastAsia="zh-CN" w:bidi="ar"/>
              </w:rPr>
              <w:t>合计</w:t>
            </w:r>
          </w:p>
        </w:tc>
        <w:tc>
          <w:tcPr>
            <w:tcW w:w="1472" w:type="dxa"/>
            <w:tcBorders>
              <w:bottom w:val="single" w:color="auto" w:sz="4" w:space="0"/>
            </w:tcBorders>
            <w:shd w:val="clear" w:color="auto" w:fill="FFFFFF"/>
            <w:vAlign w:val="center"/>
          </w:tcPr>
          <w:p w14:paraId="64298037">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val="0"/>
                <w:i w:val="0"/>
                <w:iCs w:val="0"/>
                <w:color w:val="000000"/>
                <w:sz w:val="24"/>
                <w:szCs w:val="24"/>
                <w:u w:val="none"/>
              </w:rPr>
            </w:pPr>
          </w:p>
        </w:tc>
        <w:tc>
          <w:tcPr>
            <w:tcW w:w="824" w:type="dxa"/>
            <w:tcBorders>
              <w:bottom w:val="single" w:color="auto" w:sz="4" w:space="0"/>
            </w:tcBorders>
            <w:shd w:val="clear" w:color="auto" w:fill="FFFFFF"/>
            <w:noWrap/>
            <w:vAlign w:val="center"/>
          </w:tcPr>
          <w:p w14:paraId="6CCD72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lang w:val="en-US" w:eastAsia="zh-CN" w:bidi="ar"/>
              </w:rPr>
              <w:t>100</w:t>
            </w:r>
          </w:p>
        </w:tc>
      </w:tr>
      <w:tr w14:paraId="3C1AC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9" w:hRule="atLeast"/>
        </w:trPr>
        <w:tc>
          <w:tcPr>
            <w:tcW w:w="14182" w:type="dxa"/>
            <w:gridSpan w:val="4"/>
            <w:tcBorders>
              <w:top w:val="single" w:color="auto" w:sz="4" w:space="0"/>
              <w:left w:val="single" w:color="auto" w:sz="4" w:space="0"/>
              <w:bottom w:val="single" w:color="auto" w:sz="4" w:space="0"/>
              <w:right w:val="single" w:color="auto" w:sz="4" w:space="0"/>
            </w:tcBorders>
            <w:shd w:val="clear" w:color="auto" w:fill="FFFFFF"/>
            <w:noWrap/>
            <w:vAlign w:val="center"/>
          </w:tcPr>
          <w:p w14:paraId="116F57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i w:val="0"/>
                <w:iCs w:val="0"/>
                <w:color w:val="000000"/>
                <w:sz w:val="24"/>
                <w:szCs w:val="24"/>
                <w:u w:val="none"/>
              </w:rPr>
            </w:pPr>
            <w:r>
              <w:rPr>
                <w:rFonts w:hint="eastAsia" w:ascii="宋体" w:hAnsi="宋体" w:eastAsia="宋体" w:cs="宋体"/>
                <w:b/>
                <w:bCs w:val="0"/>
                <w:i w:val="0"/>
                <w:iCs w:val="0"/>
                <w:color w:val="000000"/>
                <w:kern w:val="0"/>
                <w:sz w:val="24"/>
                <w:szCs w:val="24"/>
                <w:u w:val="none"/>
                <w:lang w:val="en-US" w:eastAsia="zh-CN" w:bidi="ar"/>
              </w:rPr>
              <w:t>二、特色指标</w:t>
            </w:r>
          </w:p>
        </w:tc>
      </w:tr>
      <w:tr w14:paraId="3DC1B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1" w:hRule="atLeast"/>
        </w:trPr>
        <w:tc>
          <w:tcPr>
            <w:tcW w:w="914" w:type="dxa"/>
            <w:tcBorders>
              <w:top w:val="single" w:color="auto" w:sz="4" w:space="0"/>
            </w:tcBorders>
            <w:shd w:val="clear" w:color="auto" w:fill="FFFFFF"/>
            <w:noWrap/>
            <w:vAlign w:val="center"/>
          </w:tcPr>
          <w:p w14:paraId="5D16BE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val="0"/>
                <w:i w:val="0"/>
                <w:iCs w:val="0"/>
                <w:color w:val="000000"/>
                <w:sz w:val="24"/>
                <w:szCs w:val="24"/>
                <w:u w:val="none"/>
              </w:rPr>
            </w:pPr>
            <w:r>
              <w:rPr>
                <w:rFonts w:hint="eastAsia" w:ascii="宋体" w:hAnsi="宋体" w:eastAsia="宋体" w:cs="宋体"/>
                <w:b/>
                <w:bCs w:val="0"/>
                <w:i w:val="0"/>
                <w:iCs w:val="0"/>
                <w:color w:val="000000"/>
                <w:kern w:val="0"/>
                <w:sz w:val="24"/>
                <w:szCs w:val="24"/>
                <w:u w:val="none"/>
                <w:lang w:val="en-US" w:eastAsia="zh-CN" w:bidi="ar"/>
              </w:rPr>
              <w:t>序号</w:t>
            </w:r>
          </w:p>
        </w:tc>
        <w:tc>
          <w:tcPr>
            <w:tcW w:w="10972" w:type="dxa"/>
            <w:tcBorders>
              <w:top w:val="single" w:color="auto" w:sz="4" w:space="0"/>
            </w:tcBorders>
            <w:shd w:val="clear" w:color="auto" w:fill="FFFFFF"/>
            <w:noWrap/>
            <w:vAlign w:val="center"/>
          </w:tcPr>
          <w:p w14:paraId="0A2C189B">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b/>
                <w:bCs w:val="0"/>
                <w:i w:val="0"/>
                <w:iCs w:val="0"/>
                <w:color w:val="000000"/>
                <w:sz w:val="24"/>
                <w:szCs w:val="24"/>
                <w:u w:val="none"/>
              </w:rPr>
            </w:pPr>
          </w:p>
        </w:tc>
        <w:tc>
          <w:tcPr>
            <w:tcW w:w="2296" w:type="dxa"/>
            <w:gridSpan w:val="2"/>
            <w:tcBorders>
              <w:top w:val="single" w:color="auto" w:sz="4" w:space="0"/>
            </w:tcBorders>
            <w:shd w:val="clear" w:color="auto" w:fill="FFFFFF"/>
            <w:noWrap/>
            <w:vAlign w:val="center"/>
          </w:tcPr>
          <w:p w14:paraId="216B61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val="0"/>
                <w:i w:val="0"/>
                <w:iCs w:val="0"/>
                <w:color w:val="000000"/>
                <w:sz w:val="24"/>
                <w:szCs w:val="24"/>
                <w:u w:val="none"/>
              </w:rPr>
            </w:pPr>
            <w:r>
              <w:rPr>
                <w:rFonts w:hint="eastAsia" w:ascii="宋体" w:hAnsi="宋体" w:eastAsia="宋体" w:cs="宋体"/>
                <w:b/>
                <w:bCs w:val="0"/>
                <w:i w:val="0"/>
                <w:iCs w:val="0"/>
                <w:color w:val="000000"/>
                <w:kern w:val="0"/>
                <w:sz w:val="24"/>
                <w:szCs w:val="24"/>
                <w:u w:val="none"/>
                <w:lang w:val="en-US" w:eastAsia="zh-CN" w:bidi="ar"/>
              </w:rPr>
              <w:t>测评办法</w:t>
            </w:r>
          </w:p>
        </w:tc>
      </w:tr>
      <w:tr w14:paraId="16923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1" w:hRule="atLeast"/>
        </w:trPr>
        <w:tc>
          <w:tcPr>
            <w:tcW w:w="914" w:type="dxa"/>
            <w:shd w:val="clear" w:color="auto" w:fill="FFFFFF"/>
            <w:noWrap/>
            <w:vAlign w:val="center"/>
          </w:tcPr>
          <w:p w14:paraId="035C68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1</w:t>
            </w:r>
          </w:p>
        </w:tc>
        <w:tc>
          <w:tcPr>
            <w:tcW w:w="10972" w:type="dxa"/>
            <w:shd w:val="clear" w:color="auto" w:fill="FFFFFF"/>
            <w:noWrap/>
            <w:vAlign w:val="center"/>
          </w:tcPr>
          <w:p w14:paraId="5D6C3FD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积极参与社会公益、志愿服务等活动，产生较大社会影响，获省部级以上表彰</w:t>
            </w:r>
          </w:p>
        </w:tc>
        <w:tc>
          <w:tcPr>
            <w:tcW w:w="2296" w:type="dxa"/>
            <w:gridSpan w:val="2"/>
            <w:vMerge w:val="restart"/>
            <w:shd w:val="clear" w:color="auto" w:fill="FFFFFF"/>
            <w:vAlign w:val="center"/>
          </w:tcPr>
          <w:p w14:paraId="010C20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材料审核(时间为本轮创建周期，符合一项加 1 分，全部指标最多可以加 5 分)</w:t>
            </w:r>
          </w:p>
        </w:tc>
      </w:tr>
      <w:tr w14:paraId="2B54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1" w:hRule="atLeast"/>
        </w:trPr>
        <w:tc>
          <w:tcPr>
            <w:tcW w:w="914" w:type="dxa"/>
            <w:shd w:val="clear" w:color="auto" w:fill="FFFFFF"/>
            <w:noWrap/>
            <w:vAlign w:val="center"/>
          </w:tcPr>
          <w:p w14:paraId="0DBBB6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2</w:t>
            </w:r>
          </w:p>
        </w:tc>
        <w:tc>
          <w:tcPr>
            <w:tcW w:w="10972" w:type="dxa"/>
            <w:shd w:val="clear" w:color="auto" w:fill="FFFFFF"/>
            <w:noWrap/>
            <w:vAlign w:val="center"/>
          </w:tcPr>
          <w:p w14:paraId="2F93627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避免学校造成大量人员和财产损失的</w:t>
            </w:r>
          </w:p>
        </w:tc>
        <w:tc>
          <w:tcPr>
            <w:tcW w:w="2296" w:type="dxa"/>
            <w:gridSpan w:val="2"/>
            <w:vMerge w:val="continue"/>
            <w:shd w:val="clear" w:color="auto" w:fill="FFFFFF"/>
            <w:vAlign w:val="center"/>
          </w:tcPr>
          <w:p w14:paraId="35934D5E">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val="0"/>
                <w:i w:val="0"/>
                <w:iCs w:val="0"/>
                <w:color w:val="000000"/>
                <w:sz w:val="24"/>
                <w:szCs w:val="24"/>
                <w:u w:val="none"/>
              </w:rPr>
            </w:pPr>
          </w:p>
        </w:tc>
      </w:tr>
      <w:tr w14:paraId="0AC8F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1" w:hRule="atLeast"/>
        </w:trPr>
        <w:tc>
          <w:tcPr>
            <w:tcW w:w="914" w:type="dxa"/>
            <w:shd w:val="clear" w:color="auto" w:fill="FFFFFF"/>
            <w:noWrap/>
            <w:vAlign w:val="center"/>
          </w:tcPr>
          <w:p w14:paraId="3A7922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3</w:t>
            </w:r>
          </w:p>
        </w:tc>
        <w:tc>
          <w:tcPr>
            <w:tcW w:w="10972" w:type="dxa"/>
            <w:shd w:val="clear" w:color="auto" w:fill="FFFFFF"/>
            <w:noWrap/>
            <w:vAlign w:val="center"/>
          </w:tcPr>
          <w:p w14:paraId="10BF2C6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在工作领域涌现先进人物和优秀事迹，获得省部级以上表彰或中央主要媒体做过宣传报道</w:t>
            </w:r>
          </w:p>
        </w:tc>
        <w:tc>
          <w:tcPr>
            <w:tcW w:w="2296" w:type="dxa"/>
            <w:gridSpan w:val="2"/>
            <w:vMerge w:val="continue"/>
            <w:shd w:val="clear" w:color="auto" w:fill="FFFFFF"/>
            <w:vAlign w:val="center"/>
          </w:tcPr>
          <w:p w14:paraId="10513CAF">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val="0"/>
                <w:i w:val="0"/>
                <w:iCs w:val="0"/>
                <w:color w:val="000000"/>
                <w:sz w:val="24"/>
                <w:szCs w:val="24"/>
                <w:u w:val="none"/>
              </w:rPr>
            </w:pPr>
          </w:p>
        </w:tc>
      </w:tr>
      <w:tr w14:paraId="7DA87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9" w:hRule="atLeast"/>
        </w:trPr>
        <w:tc>
          <w:tcPr>
            <w:tcW w:w="14182" w:type="dxa"/>
            <w:gridSpan w:val="4"/>
            <w:shd w:val="clear" w:color="auto" w:fill="FFFFFF"/>
            <w:noWrap/>
            <w:vAlign w:val="center"/>
          </w:tcPr>
          <w:p w14:paraId="5C0848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val="0"/>
                <w:i w:val="0"/>
                <w:iCs w:val="0"/>
                <w:color w:val="000000"/>
                <w:sz w:val="24"/>
                <w:szCs w:val="24"/>
                <w:u w:val="none"/>
              </w:rPr>
            </w:pPr>
            <w:r>
              <w:rPr>
                <w:rFonts w:hint="eastAsia" w:ascii="宋体" w:hAnsi="宋体" w:eastAsia="宋体" w:cs="宋体"/>
                <w:b/>
                <w:bCs w:val="0"/>
                <w:i w:val="0"/>
                <w:iCs w:val="0"/>
                <w:color w:val="000000"/>
                <w:kern w:val="0"/>
                <w:sz w:val="24"/>
                <w:szCs w:val="24"/>
                <w:u w:val="none"/>
                <w:lang w:val="en-US" w:eastAsia="zh-CN" w:bidi="ar"/>
              </w:rPr>
              <w:t>三、负面清单</w:t>
            </w:r>
          </w:p>
        </w:tc>
      </w:tr>
      <w:tr w14:paraId="365BB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9" w:hRule="atLeast"/>
        </w:trPr>
        <w:tc>
          <w:tcPr>
            <w:tcW w:w="914" w:type="dxa"/>
            <w:shd w:val="clear" w:color="auto" w:fill="FFFFFF"/>
            <w:noWrap/>
            <w:vAlign w:val="center"/>
          </w:tcPr>
          <w:p w14:paraId="2A9144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val="0"/>
                <w:i w:val="0"/>
                <w:iCs w:val="0"/>
                <w:color w:val="000000"/>
                <w:sz w:val="24"/>
                <w:szCs w:val="24"/>
                <w:u w:val="none"/>
              </w:rPr>
            </w:pPr>
            <w:r>
              <w:rPr>
                <w:rFonts w:hint="eastAsia" w:ascii="宋体" w:hAnsi="宋体" w:eastAsia="宋体" w:cs="宋体"/>
                <w:b/>
                <w:bCs w:val="0"/>
                <w:i w:val="0"/>
                <w:iCs w:val="0"/>
                <w:color w:val="000000"/>
                <w:kern w:val="0"/>
                <w:sz w:val="24"/>
                <w:szCs w:val="24"/>
                <w:u w:val="none"/>
                <w:lang w:val="en-US" w:eastAsia="zh-CN" w:bidi="ar"/>
              </w:rPr>
              <w:t>序号</w:t>
            </w:r>
          </w:p>
        </w:tc>
        <w:tc>
          <w:tcPr>
            <w:tcW w:w="10972" w:type="dxa"/>
            <w:shd w:val="clear" w:color="auto" w:fill="FFFFFF"/>
            <w:noWrap/>
            <w:vAlign w:val="center"/>
          </w:tcPr>
          <w:p w14:paraId="427716E3">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b/>
                <w:bCs w:val="0"/>
                <w:i w:val="0"/>
                <w:iCs w:val="0"/>
                <w:color w:val="000000"/>
                <w:sz w:val="24"/>
                <w:szCs w:val="24"/>
                <w:u w:val="none"/>
              </w:rPr>
            </w:pPr>
          </w:p>
        </w:tc>
        <w:tc>
          <w:tcPr>
            <w:tcW w:w="2296" w:type="dxa"/>
            <w:gridSpan w:val="2"/>
            <w:shd w:val="clear" w:color="auto" w:fill="FFFFFF"/>
            <w:noWrap/>
            <w:vAlign w:val="center"/>
          </w:tcPr>
          <w:p w14:paraId="309802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val="0"/>
                <w:i w:val="0"/>
                <w:iCs w:val="0"/>
                <w:color w:val="000000"/>
                <w:sz w:val="24"/>
                <w:szCs w:val="24"/>
                <w:u w:val="none"/>
              </w:rPr>
            </w:pPr>
            <w:r>
              <w:rPr>
                <w:rFonts w:hint="eastAsia" w:ascii="宋体" w:hAnsi="宋体" w:eastAsia="宋体" w:cs="宋体"/>
                <w:b/>
                <w:bCs w:val="0"/>
                <w:i w:val="0"/>
                <w:iCs w:val="0"/>
                <w:color w:val="000000"/>
                <w:kern w:val="0"/>
                <w:sz w:val="24"/>
                <w:szCs w:val="24"/>
                <w:u w:val="none"/>
                <w:lang w:val="en-US" w:eastAsia="zh-CN" w:bidi="ar"/>
              </w:rPr>
              <w:t>惩戒办法</w:t>
            </w:r>
          </w:p>
        </w:tc>
      </w:tr>
      <w:tr w14:paraId="462E9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9" w:hRule="atLeast"/>
        </w:trPr>
        <w:tc>
          <w:tcPr>
            <w:tcW w:w="914" w:type="dxa"/>
            <w:shd w:val="clear" w:color="auto" w:fill="FFFFFF"/>
            <w:noWrap/>
            <w:vAlign w:val="center"/>
          </w:tcPr>
          <w:p w14:paraId="3113C2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1</w:t>
            </w:r>
          </w:p>
        </w:tc>
        <w:tc>
          <w:tcPr>
            <w:tcW w:w="10972" w:type="dxa"/>
            <w:shd w:val="clear" w:color="auto" w:fill="FFFFFF"/>
            <w:noWrap/>
            <w:vAlign w:val="center"/>
          </w:tcPr>
          <w:p w14:paraId="4A1197D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主要管理人员在服务期出现严重违纪、违法行为</w:t>
            </w:r>
          </w:p>
        </w:tc>
        <w:tc>
          <w:tcPr>
            <w:tcW w:w="2296" w:type="dxa"/>
            <w:gridSpan w:val="2"/>
            <w:vMerge w:val="restart"/>
            <w:shd w:val="clear" w:color="auto" w:fill="FFFFFF"/>
            <w:vAlign w:val="center"/>
          </w:tcPr>
          <w:p w14:paraId="79DB48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对于 6 条负面清单，文明食堂创建周期内有其中一条的，取消文明食堂评选资格；已获得文明食堂的，由命名表彰单位撤销荣誉称号</w:t>
            </w:r>
          </w:p>
        </w:tc>
      </w:tr>
      <w:tr w14:paraId="2FD28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9" w:hRule="atLeast"/>
        </w:trPr>
        <w:tc>
          <w:tcPr>
            <w:tcW w:w="914" w:type="dxa"/>
            <w:shd w:val="clear" w:color="auto" w:fill="FFFFFF"/>
            <w:noWrap/>
            <w:vAlign w:val="center"/>
          </w:tcPr>
          <w:p w14:paraId="0F70F0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2</w:t>
            </w:r>
          </w:p>
        </w:tc>
        <w:tc>
          <w:tcPr>
            <w:tcW w:w="10972" w:type="dxa"/>
            <w:shd w:val="clear" w:color="auto" w:fill="FFFFFF"/>
            <w:noWrap/>
            <w:vAlign w:val="center"/>
          </w:tcPr>
          <w:p w14:paraId="7690865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党的建设和意识形态工作出现严重问题</w:t>
            </w:r>
          </w:p>
        </w:tc>
        <w:tc>
          <w:tcPr>
            <w:tcW w:w="2296" w:type="dxa"/>
            <w:gridSpan w:val="2"/>
            <w:vMerge w:val="continue"/>
            <w:shd w:val="clear" w:color="auto" w:fill="FFFFFF"/>
            <w:vAlign w:val="center"/>
          </w:tcPr>
          <w:p w14:paraId="35810A23">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val="0"/>
                <w:i w:val="0"/>
                <w:iCs w:val="0"/>
                <w:color w:val="000000"/>
                <w:sz w:val="24"/>
                <w:szCs w:val="24"/>
                <w:u w:val="none"/>
              </w:rPr>
            </w:pPr>
          </w:p>
        </w:tc>
      </w:tr>
      <w:tr w14:paraId="491D5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9" w:hRule="atLeast"/>
        </w:trPr>
        <w:tc>
          <w:tcPr>
            <w:tcW w:w="914" w:type="dxa"/>
            <w:shd w:val="clear" w:color="auto" w:fill="FFFFFF"/>
            <w:noWrap/>
            <w:vAlign w:val="center"/>
          </w:tcPr>
          <w:p w14:paraId="27CEF5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3</w:t>
            </w:r>
          </w:p>
        </w:tc>
        <w:tc>
          <w:tcPr>
            <w:tcW w:w="10972" w:type="dxa"/>
            <w:shd w:val="clear" w:color="auto" w:fill="FFFFFF"/>
            <w:noWrap/>
            <w:vAlign w:val="center"/>
          </w:tcPr>
          <w:p w14:paraId="0043965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有影响学校稳定的重大事故、重大不诚信事件、重大群体性责任事件</w:t>
            </w:r>
          </w:p>
        </w:tc>
        <w:tc>
          <w:tcPr>
            <w:tcW w:w="2296" w:type="dxa"/>
            <w:gridSpan w:val="2"/>
            <w:vMerge w:val="continue"/>
            <w:shd w:val="clear" w:color="auto" w:fill="FFFFFF"/>
            <w:vAlign w:val="center"/>
          </w:tcPr>
          <w:p w14:paraId="5A010013">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val="0"/>
                <w:i w:val="0"/>
                <w:iCs w:val="0"/>
                <w:color w:val="000000"/>
                <w:sz w:val="24"/>
                <w:szCs w:val="24"/>
                <w:u w:val="none"/>
              </w:rPr>
            </w:pPr>
          </w:p>
        </w:tc>
      </w:tr>
      <w:tr w14:paraId="74022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9" w:hRule="atLeast"/>
        </w:trPr>
        <w:tc>
          <w:tcPr>
            <w:tcW w:w="914" w:type="dxa"/>
            <w:shd w:val="clear" w:color="auto" w:fill="FFFFFF"/>
            <w:noWrap/>
            <w:vAlign w:val="center"/>
          </w:tcPr>
          <w:p w14:paraId="54E20C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4</w:t>
            </w:r>
          </w:p>
        </w:tc>
        <w:tc>
          <w:tcPr>
            <w:tcW w:w="10972" w:type="dxa"/>
            <w:shd w:val="clear" w:color="auto" w:fill="FFFFFF"/>
            <w:noWrap/>
            <w:vAlign w:val="center"/>
          </w:tcPr>
          <w:p w14:paraId="5198207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有重大安全责任事故、重大消防责任事故、重大食物中毒事件、重大校园环境安全事件</w:t>
            </w:r>
          </w:p>
        </w:tc>
        <w:tc>
          <w:tcPr>
            <w:tcW w:w="2296" w:type="dxa"/>
            <w:gridSpan w:val="2"/>
            <w:vMerge w:val="continue"/>
            <w:shd w:val="clear" w:color="auto" w:fill="FFFFFF"/>
            <w:vAlign w:val="center"/>
          </w:tcPr>
          <w:p w14:paraId="63A28055">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val="0"/>
                <w:i w:val="0"/>
                <w:iCs w:val="0"/>
                <w:color w:val="000000"/>
                <w:sz w:val="24"/>
                <w:szCs w:val="24"/>
                <w:u w:val="none"/>
              </w:rPr>
            </w:pPr>
          </w:p>
        </w:tc>
      </w:tr>
      <w:tr w14:paraId="47746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9" w:hRule="atLeast"/>
        </w:trPr>
        <w:tc>
          <w:tcPr>
            <w:tcW w:w="914" w:type="dxa"/>
            <w:shd w:val="clear" w:color="auto" w:fill="FFFFFF"/>
            <w:noWrap/>
            <w:vAlign w:val="center"/>
          </w:tcPr>
          <w:p w14:paraId="4F4F94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5</w:t>
            </w:r>
          </w:p>
        </w:tc>
        <w:tc>
          <w:tcPr>
            <w:tcW w:w="10972" w:type="dxa"/>
            <w:shd w:val="clear" w:color="auto" w:fill="FFFFFF"/>
            <w:noWrap/>
            <w:vAlign w:val="center"/>
          </w:tcPr>
          <w:p w14:paraId="72E0980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有造成重大影响的员工违法犯罪案件</w:t>
            </w:r>
          </w:p>
        </w:tc>
        <w:tc>
          <w:tcPr>
            <w:tcW w:w="2296" w:type="dxa"/>
            <w:gridSpan w:val="2"/>
            <w:vMerge w:val="continue"/>
            <w:shd w:val="clear" w:color="auto" w:fill="FFFFFF"/>
            <w:vAlign w:val="center"/>
          </w:tcPr>
          <w:p w14:paraId="1DADD8E4">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val="0"/>
                <w:i w:val="0"/>
                <w:iCs w:val="0"/>
                <w:color w:val="000000"/>
                <w:sz w:val="24"/>
                <w:szCs w:val="24"/>
                <w:u w:val="none"/>
              </w:rPr>
            </w:pPr>
          </w:p>
        </w:tc>
      </w:tr>
      <w:tr w14:paraId="4B437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9" w:hRule="atLeast"/>
        </w:trPr>
        <w:tc>
          <w:tcPr>
            <w:tcW w:w="914" w:type="dxa"/>
            <w:shd w:val="clear" w:color="auto" w:fill="FFFFFF"/>
            <w:noWrap/>
            <w:vAlign w:val="center"/>
          </w:tcPr>
          <w:p w14:paraId="60C199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6</w:t>
            </w:r>
          </w:p>
        </w:tc>
        <w:tc>
          <w:tcPr>
            <w:tcW w:w="10972" w:type="dxa"/>
            <w:shd w:val="clear" w:color="auto" w:fill="FFFFFF"/>
            <w:noWrap/>
            <w:vAlign w:val="center"/>
          </w:tcPr>
          <w:p w14:paraId="36DB390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val="0"/>
                <w:i w:val="0"/>
                <w:iCs w:val="0"/>
                <w:color w:val="000000"/>
                <w:sz w:val="24"/>
                <w:szCs w:val="24"/>
                <w:u w:val="none"/>
              </w:rPr>
            </w:pPr>
            <w:r>
              <w:rPr>
                <w:rFonts w:hint="eastAsia" w:ascii="宋体" w:hAnsi="宋体" w:eastAsia="宋体" w:cs="宋体"/>
                <w:b w:val="0"/>
                <w:i w:val="0"/>
                <w:iCs w:val="0"/>
                <w:color w:val="000000"/>
                <w:kern w:val="0"/>
                <w:sz w:val="24"/>
                <w:szCs w:val="24"/>
                <w:u w:val="none"/>
                <w:lang w:val="en-US" w:eastAsia="zh-CN" w:bidi="ar"/>
              </w:rPr>
              <w:t>员工中有严重违反学校管理规定的行为，造成恶劣影响</w:t>
            </w:r>
          </w:p>
        </w:tc>
        <w:tc>
          <w:tcPr>
            <w:tcW w:w="2296" w:type="dxa"/>
            <w:gridSpan w:val="2"/>
            <w:vMerge w:val="continue"/>
            <w:shd w:val="clear" w:color="auto" w:fill="FFFFFF"/>
            <w:vAlign w:val="center"/>
          </w:tcPr>
          <w:p w14:paraId="55DF27F0">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val="0"/>
                <w:i w:val="0"/>
                <w:iCs w:val="0"/>
                <w:color w:val="000000"/>
                <w:sz w:val="24"/>
                <w:szCs w:val="24"/>
                <w:u w:val="none"/>
              </w:rPr>
            </w:pPr>
          </w:p>
        </w:tc>
      </w:tr>
    </w:tbl>
    <w:p w14:paraId="25FDD706">
      <w:pPr>
        <w:keepNext w:val="0"/>
        <w:keepLines w:val="0"/>
        <w:widowControl/>
        <w:suppressLineNumbers w:val="0"/>
        <w:jc w:val="left"/>
        <w:textAlignment w:val="center"/>
        <w:rPr>
          <w:rFonts w:hint="eastAsia" w:ascii="宋体" w:hAnsi="宋体" w:eastAsia="宋体" w:cs="宋体"/>
          <w:b w:val="0"/>
          <w:i w:val="0"/>
          <w:iCs w:val="0"/>
          <w:color w:val="000000"/>
          <w:kern w:val="0"/>
          <w:sz w:val="24"/>
          <w:szCs w:val="24"/>
          <w:u w:val="none"/>
          <w:lang w:val="en-US" w:eastAsia="zh-CN" w:bidi="ar"/>
        </w:rPr>
        <w:sectPr>
          <w:type w:val="continuous"/>
          <w:pgSz w:w="16838" w:h="11906" w:orient="landscape"/>
          <w:pgMar w:top="1800" w:right="1440" w:bottom="1800" w:left="1440" w:header="851" w:footer="992" w:gutter="0"/>
          <w:cols w:space="425" w:num="1"/>
          <w:docGrid w:type="lines" w:linePitch="312" w:charSpace="0"/>
        </w:sectPr>
      </w:pPr>
    </w:p>
    <w:p w14:paraId="2B47426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val="0"/>
          <w:i w:val="0"/>
          <w:iCs w:val="0"/>
          <w:color w:val="000000"/>
          <w:kern w:val="0"/>
          <w:sz w:val="24"/>
          <w:szCs w:val="24"/>
          <w:u w:val="none"/>
          <w:lang w:val="en-US" w:eastAsia="zh-CN" w:bidi="ar"/>
        </w:rPr>
      </w:pPr>
    </w:p>
    <w:p w14:paraId="66B27B59">
      <w:pPr>
        <w:keepNext w:val="0"/>
        <w:keepLines w:val="0"/>
        <w:pageBreakBefore w:val="0"/>
        <w:widowControl w:val="0"/>
        <w:kinsoku/>
        <w:wordWrap/>
        <w:overflowPunct/>
        <w:topLinePunct w:val="0"/>
        <w:autoSpaceDE/>
        <w:autoSpaceDN/>
        <w:bidi w:val="0"/>
        <w:adjustRightInd/>
        <w:snapToGrid/>
        <w:spacing w:line="400" w:lineRule="exact"/>
        <w:textAlignment w:val="auto"/>
      </w:pPr>
      <w:r>
        <w:rPr>
          <w:rFonts w:hint="eastAsia" w:ascii="宋体" w:hAnsi="宋体" w:eastAsia="宋体" w:cs="宋体"/>
          <w:b w:val="0"/>
          <w:i w:val="0"/>
          <w:iCs w:val="0"/>
          <w:color w:val="000000"/>
          <w:kern w:val="0"/>
          <w:sz w:val="24"/>
          <w:szCs w:val="24"/>
          <w:u w:val="none"/>
          <w:lang w:val="en-US" w:eastAsia="zh-CN" w:bidi="ar"/>
        </w:rPr>
        <w:t>1.根据中央文明委《全国文明校园创建管理办法》、中央文明办、教育部《关于深入开展文明校园创建的实施意见》以及《全国高校文明校园测评细则》，制定本细则。</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2.本细则适用对象为学校各食堂，目的是明确文明食堂创建任务，检验创建工作进展成效，检查督促精神文明建设工作。</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3.测评细则包括“基本指标”“特色指标”“负面清单”三部分；基本指标100分，特色指标5分，负面清单在评选文明单位时为一票否决条件。</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4.分值结构：测评主要采用材料审核、实地考察等方法。其中，材料审核包括审看文字材料、影像资料、网络信息等，实地考察包括查看实地情况、座谈了解、听取汇报、现场模拟等，问卷调查包括面向师生员工的问卷调查、随机个别访谈等。</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5.采用单位自评和文明办复评相结合的方式，最终得分以文明办复评得分为准。</w:t>
      </w:r>
      <w:r>
        <w:rPr>
          <w:rFonts w:hint="eastAsia" w:ascii="宋体" w:hAnsi="宋体" w:eastAsia="宋体" w:cs="宋体"/>
          <w:b w:val="0"/>
          <w:i w:val="0"/>
          <w:iCs w:val="0"/>
          <w:color w:val="000000"/>
          <w:kern w:val="0"/>
          <w:sz w:val="24"/>
          <w:szCs w:val="24"/>
          <w:u w:val="none"/>
          <w:lang w:val="en-US" w:eastAsia="zh-CN" w:bidi="ar"/>
        </w:rPr>
        <w:br w:type="textWrapping"/>
      </w:r>
      <w:r>
        <w:rPr>
          <w:rFonts w:hint="eastAsia" w:ascii="宋体" w:hAnsi="宋体" w:eastAsia="宋体" w:cs="宋体"/>
          <w:b w:val="0"/>
          <w:i w:val="0"/>
          <w:iCs w:val="0"/>
          <w:color w:val="000000"/>
          <w:kern w:val="0"/>
          <w:sz w:val="24"/>
          <w:szCs w:val="24"/>
          <w:u w:val="none"/>
          <w:lang w:val="en-US" w:eastAsia="zh-CN" w:bidi="ar"/>
        </w:rPr>
        <w:t>6.本测评细则由后勤管理处负责解释。</w:t>
      </w:r>
      <w:bookmarkStart w:id="1" w:name="_GoBack"/>
      <w:bookmarkEnd w:id="1"/>
    </w:p>
    <w:sectPr>
      <w:type w:val="continuous"/>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1NDM5Nzk4NTM4YjE5NzU4MDcyMjRiNzE1YmQwM2EifQ=="/>
  </w:docVars>
  <w:rsids>
    <w:rsidRoot w:val="53C97BEF"/>
    <w:rsid w:val="000F0D49"/>
    <w:rsid w:val="00135D89"/>
    <w:rsid w:val="001A2507"/>
    <w:rsid w:val="00207656"/>
    <w:rsid w:val="0027620B"/>
    <w:rsid w:val="002E0C5D"/>
    <w:rsid w:val="00353960"/>
    <w:rsid w:val="00374429"/>
    <w:rsid w:val="0038094A"/>
    <w:rsid w:val="00866E56"/>
    <w:rsid w:val="00876F87"/>
    <w:rsid w:val="009E632A"/>
    <w:rsid w:val="00AD4BCD"/>
    <w:rsid w:val="00C86904"/>
    <w:rsid w:val="00C872A5"/>
    <w:rsid w:val="00CC3F42"/>
    <w:rsid w:val="00CD4341"/>
    <w:rsid w:val="00E401B4"/>
    <w:rsid w:val="00F24F0D"/>
    <w:rsid w:val="00FC0CF2"/>
    <w:rsid w:val="00FE6420"/>
    <w:rsid w:val="0AD40765"/>
    <w:rsid w:val="0FC362D3"/>
    <w:rsid w:val="15F01D49"/>
    <w:rsid w:val="1D1C3424"/>
    <w:rsid w:val="304D4179"/>
    <w:rsid w:val="33B372B1"/>
    <w:rsid w:val="36525CB0"/>
    <w:rsid w:val="3C1D29C5"/>
    <w:rsid w:val="43014CE6"/>
    <w:rsid w:val="4EF07C4F"/>
    <w:rsid w:val="53C97BEF"/>
    <w:rsid w:val="5503044A"/>
    <w:rsid w:val="5AAC6C6A"/>
    <w:rsid w:val="618F46CC"/>
    <w:rsid w:val="64552A33"/>
    <w:rsid w:val="65210936"/>
    <w:rsid w:val="65227206"/>
    <w:rsid w:val="669C78AF"/>
    <w:rsid w:val="66A650D9"/>
    <w:rsid w:val="6C0C59DE"/>
    <w:rsid w:val="78D756E3"/>
    <w:rsid w:val="7C757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4992</Words>
  <Characters>5068</Characters>
  <Lines>20</Lines>
  <Paragraphs>5</Paragraphs>
  <TotalTime>961</TotalTime>
  <ScaleCrop>false</ScaleCrop>
  <LinksUpToDate>false</LinksUpToDate>
  <CharactersWithSpaces>5148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2023-10-08T01:27:00Z</dcterms:created>
  <dc:creator>csc</dc:creator>
  <cp:lastModifiedBy>qiu</cp:lastModifiedBy>
  <dcterms:modified xsi:type="dcterms:W3CDTF">2025-05-16T01:21:35Z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03FC01CEC85A4F28BE3589070C5FEBAC_13</vt:lpwstr>
  </property>
  <property fmtid="{D5CDD505-2E9C-101B-9397-08002B2CF9AE}" pid="4" name="KSOTemplateDocerSaveRecord">
    <vt:lpwstr>eyJoZGlkIjoiOGFjZWIxMzMzYjg0YTNmZTViOGJiNmRmZmQ5YzQ5NWMiLCJ1c2VySWQiOiI1NjcyNzkzMjAifQ==</vt:lpwstr>
  </property>
</Properties>
</file>