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457E82">
      <w:pPr>
        <w:spacing w:line="560" w:lineRule="exact"/>
        <w:jc w:val="center"/>
        <w:rPr>
          <w:rFonts w:ascii="宋体" w:hAnsi="宋体" w:cs="仿宋_GB2312"/>
          <w:b/>
          <w:sz w:val="44"/>
          <w:szCs w:val="44"/>
        </w:rPr>
      </w:pPr>
      <w:bookmarkStart w:id="1" w:name="_GoBack"/>
      <w:bookmarkEnd w:id="1"/>
      <w:bookmarkStart w:id="0" w:name="_Hlk24379207"/>
      <w:r>
        <w:rPr>
          <w:rFonts w:hint="eastAsia" w:ascii="宋体" w:hAnsi="宋体" w:cs="宋体"/>
          <w:b/>
          <w:sz w:val="44"/>
          <w:szCs w:val="44"/>
        </w:rPr>
        <w:t>安徽建筑大学实验综合楼二楼报告厅升级改造项目市场调研公告</w:t>
      </w:r>
    </w:p>
    <w:p w14:paraId="31B7E7E2">
      <w:pPr>
        <w:spacing w:line="560" w:lineRule="exact"/>
        <w:rPr>
          <w:rFonts w:ascii="仿宋_GB2312" w:hAnsi="仿宋_GB2312" w:eastAsia="仿宋_GB2312" w:cs="仿宋_GB2312"/>
          <w:sz w:val="32"/>
          <w:szCs w:val="32"/>
        </w:rPr>
      </w:pPr>
    </w:p>
    <w:p w14:paraId="2E0D2231">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各单位：</w:t>
      </w:r>
    </w:p>
    <w:p w14:paraId="1553CD5D">
      <w:pPr>
        <w:spacing w:line="560" w:lineRule="exact"/>
        <w:ind w:firstLine="660"/>
        <w:rPr>
          <w:rFonts w:ascii="仿宋_GB2312" w:hAnsi="仿宋_GB2312" w:eastAsia="仿宋_GB2312" w:cs="仿宋_GB2312"/>
          <w:sz w:val="32"/>
          <w:szCs w:val="32"/>
        </w:rPr>
      </w:pPr>
      <w:r>
        <w:rPr>
          <w:rFonts w:hint="eastAsia" w:ascii="仿宋_GB2312" w:hAnsi="仿宋_GB2312" w:eastAsia="仿宋_GB2312" w:cs="仿宋_GB2312"/>
          <w:sz w:val="32"/>
          <w:szCs w:val="32"/>
        </w:rPr>
        <w:t>我校拟对紫云路校区</w:t>
      </w:r>
      <w:r>
        <w:rPr>
          <w:rFonts w:hint="eastAsia" w:ascii="仿宋" w:hAnsi="仿宋" w:eastAsia="仿宋" w:cs="仿宋_GB2312"/>
          <w:sz w:val="32"/>
          <w:szCs w:val="32"/>
        </w:rPr>
        <w:t>实验综合楼二楼报告厅、实验综合楼21楼第一会议室、学生处数字化多媒体会议室进行升级改造招标采购，包含现场拆除原有老旧设备，以及因改造引起的局部装修拆除及恢复，主席台改造、新设备安装调试等，总计预算97万元，</w:t>
      </w:r>
      <w:r>
        <w:rPr>
          <w:rFonts w:hint="eastAsia" w:ascii="仿宋_GB2312" w:hAnsi="仿宋_GB2312" w:eastAsia="仿宋_GB2312" w:cs="仿宋_GB2312"/>
          <w:sz w:val="32"/>
          <w:szCs w:val="32"/>
        </w:rPr>
        <w:t>现面向你单位征询相关意见，</w:t>
      </w:r>
      <w:r>
        <w:rPr>
          <w:rFonts w:hint="eastAsia" w:ascii="仿宋" w:hAnsi="仿宋" w:eastAsia="仿宋" w:cs="仿宋_GB2312"/>
          <w:sz w:val="32"/>
          <w:szCs w:val="32"/>
        </w:rPr>
        <w:t>请根据产品实际情况提出反馈意见，是否满足我单位的要求，优于所要求性能也视为满足，无品牌限制，不需要授权，并附产品彩页等证明资料（反馈意见可以批注形式反馈），</w:t>
      </w:r>
      <w:r>
        <w:rPr>
          <w:rFonts w:hint="eastAsia" w:ascii="仿宋_GB2312" w:hAnsi="仿宋_GB2312" w:eastAsia="仿宋_GB2312" w:cs="仿宋_GB2312"/>
          <w:sz w:val="32"/>
          <w:szCs w:val="32"/>
        </w:rPr>
        <w:t>最迟请于2025年5月13日之前反馈至邮箱</w:t>
      </w:r>
      <w:r>
        <w:rPr>
          <w:rFonts w:ascii="仿宋_GB2312" w:hAnsi="仿宋_GB2312" w:eastAsia="仿宋_GB2312" w:cs="仿宋_GB2312"/>
          <w:sz w:val="32"/>
          <w:szCs w:val="32"/>
        </w:rPr>
        <w:t>hqjt@ahjzu.edu.cn</w:t>
      </w:r>
      <w:r>
        <w:rPr>
          <w:rFonts w:hint="eastAsia" w:ascii="仿宋_GB2312" w:hAnsi="仿宋_GB2312" w:eastAsia="仿宋_GB2312" w:cs="仿宋_GB2312"/>
          <w:sz w:val="32"/>
          <w:szCs w:val="32"/>
        </w:rPr>
        <w:t>，谢谢！</w:t>
      </w:r>
    </w:p>
    <w:p w14:paraId="3EC64C5A">
      <w:pPr>
        <w:spacing w:line="560" w:lineRule="exact"/>
        <w:rPr>
          <w:rFonts w:ascii="仿宋_GB2312" w:hAnsi="仿宋_GB2312" w:eastAsia="仿宋_GB2312" w:cs="仿宋_GB2312"/>
          <w:sz w:val="32"/>
          <w:szCs w:val="32"/>
        </w:rPr>
      </w:pPr>
    </w:p>
    <w:p w14:paraId="7D8AA956">
      <w:pPr>
        <w:spacing w:line="560" w:lineRule="exact"/>
        <w:rPr>
          <w:rFonts w:ascii="仿宋_GB2312" w:hAnsi="仿宋_GB2312" w:eastAsia="仿宋_GB2312" w:cs="仿宋_GB2312"/>
          <w:sz w:val="32"/>
          <w:szCs w:val="32"/>
        </w:rPr>
      </w:pPr>
      <w:r>
        <w:drawing>
          <wp:anchor distT="0" distB="0" distL="0" distR="0" simplePos="0" relativeHeight="251659264" behindDoc="1" locked="0" layoutInCell="1" allowOverlap="1">
            <wp:simplePos x="0" y="0"/>
            <wp:positionH relativeFrom="column">
              <wp:posOffset>3792220</wp:posOffset>
            </wp:positionH>
            <wp:positionV relativeFrom="paragraph">
              <wp:posOffset>317500</wp:posOffset>
            </wp:positionV>
            <wp:extent cx="1610360" cy="1635125"/>
            <wp:effectExtent l="184150" t="180340" r="186690" b="184785"/>
            <wp:wrapNone/>
            <wp:docPr id="1" name="图片 1" descr="C:/Users/HP/Desktop/章.jpg章"/>
            <wp:cNvGraphicFramePr/>
            <a:graphic xmlns:a="http://schemas.openxmlformats.org/drawingml/2006/main">
              <a:graphicData uri="http://schemas.openxmlformats.org/drawingml/2006/picture">
                <pic:pic xmlns:pic="http://schemas.openxmlformats.org/drawingml/2006/picture">
                  <pic:nvPicPr>
                    <pic:cNvPr id="1" name="图片 1" descr="C:/Users/HP/Desktop/章.jpg章"/>
                    <pic:cNvPicPr>
                      <a:picLocks noChangeArrowheads="1"/>
                    </pic:cNvPicPr>
                  </pic:nvPicPr>
                  <pic:blipFill>
                    <a:blip r:embed="rId4" cstate="print">
                      <a:lum contrast="80000"/>
                      <a:extLst>
                        <a:ext uri="{28A0092B-C50C-407E-A947-70E740481C1C}">
                          <a14:useLocalDpi xmlns:a14="http://schemas.microsoft.com/office/drawing/2010/main" val="0"/>
                        </a:ext>
                      </a:extLst>
                    </a:blip>
                    <a:srcRect l="3445" r="3445"/>
                    <a:stretch>
                      <a:fillRect/>
                    </a:stretch>
                  </pic:blipFill>
                  <pic:spPr>
                    <a:xfrm rot="900000">
                      <a:off x="0" y="0"/>
                      <a:ext cx="1610360" cy="1635125"/>
                    </a:xfrm>
                    <a:prstGeom prst="rect">
                      <a:avLst/>
                    </a:prstGeom>
                    <a:noFill/>
                    <a:ln>
                      <a:noFill/>
                    </a:ln>
                    <a:effectLst/>
                  </pic:spPr>
                </pic:pic>
              </a:graphicData>
            </a:graphic>
          </wp:anchor>
        </w:drawing>
      </w:r>
      <w:r>
        <w:rPr>
          <w:rFonts w:hint="eastAsia" w:ascii="仿宋_GB2312" w:hAnsi="仿宋_GB2312" w:eastAsia="仿宋_GB2312" w:cs="仿宋_GB2312"/>
          <w:sz w:val="32"/>
          <w:szCs w:val="32"/>
        </w:rPr>
        <w:t xml:space="preserve">                             </w:t>
      </w:r>
    </w:p>
    <w:p w14:paraId="344A9AF4">
      <w:pPr>
        <w:spacing w:line="560" w:lineRule="exact"/>
        <w:jc w:val="right"/>
        <w:rPr>
          <w:rFonts w:ascii="仿宋_GB2312" w:hAnsi="仿宋_GB2312" w:eastAsia="仿宋_GB2312" w:cs="仿宋_GB2312"/>
          <w:sz w:val="32"/>
          <w:szCs w:val="32"/>
        </w:rPr>
      </w:pPr>
    </w:p>
    <w:p w14:paraId="0F0902A0">
      <w:pPr>
        <w:spacing w:line="560" w:lineRule="exact"/>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安徽建筑大学后勤管理处</w:t>
      </w:r>
    </w:p>
    <w:p w14:paraId="3841E980">
      <w:pPr>
        <w:spacing w:line="560" w:lineRule="exact"/>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2025年5月</w:t>
      </w:r>
      <w:r>
        <w:rPr>
          <w:rFonts w:hint="eastAsia" w:ascii="宋体" w:hAnsi="宋体" w:eastAsia="仿宋_GB2312" w:cs="宋体"/>
          <w:sz w:val="32"/>
          <w:szCs w:val="32"/>
        </w:rPr>
        <w:t>7</w:t>
      </w:r>
      <w:r>
        <w:rPr>
          <w:rFonts w:hint="eastAsia" w:ascii="仿宋_GB2312" w:hAnsi="仿宋_GB2312" w:eastAsia="仿宋_GB2312" w:cs="仿宋_GB2312"/>
          <w:sz w:val="32"/>
          <w:szCs w:val="32"/>
        </w:rPr>
        <w:t>日</w:t>
      </w:r>
    </w:p>
    <w:p w14:paraId="368A6C40">
      <w:pPr>
        <w:spacing w:line="560" w:lineRule="exact"/>
        <w:rPr>
          <w:rFonts w:ascii="仿宋_GB2312" w:hAnsi="仿宋_GB2312" w:eastAsia="仿宋_GB2312" w:cs="仿宋_GB2312"/>
          <w:sz w:val="32"/>
          <w:szCs w:val="32"/>
        </w:rPr>
      </w:pPr>
    </w:p>
    <w:p w14:paraId="3B38E9FE">
      <w:pPr>
        <w:spacing w:line="560" w:lineRule="exact"/>
        <w:rPr>
          <w:rFonts w:ascii="仿宋_GB2312" w:hAnsi="仿宋_GB2312" w:eastAsia="仿宋_GB2312" w:cs="仿宋_GB2312"/>
          <w:sz w:val="32"/>
          <w:szCs w:val="32"/>
        </w:rPr>
      </w:pPr>
    </w:p>
    <w:p w14:paraId="38AE524E">
      <w:pPr>
        <w:spacing w:line="560" w:lineRule="exact"/>
        <w:rPr>
          <w:rFonts w:ascii="仿宋_GB2312" w:hAnsi="仿宋_GB2312" w:eastAsia="仿宋_GB2312" w:cs="仿宋_GB2312"/>
          <w:sz w:val="32"/>
          <w:szCs w:val="32"/>
        </w:rPr>
      </w:pPr>
    </w:p>
    <w:p w14:paraId="4C7A64A1">
      <w:pPr>
        <w:spacing w:line="560" w:lineRule="exact"/>
        <w:rPr>
          <w:rFonts w:ascii="仿宋_GB2312" w:hAnsi="仿宋_GB2312" w:eastAsia="仿宋_GB2312" w:cs="仿宋_GB2312"/>
          <w:sz w:val="32"/>
          <w:szCs w:val="32"/>
        </w:rPr>
      </w:pPr>
    </w:p>
    <w:p w14:paraId="4DB4A80F">
      <w:pPr>
        <w:spacing w:line="560" w:lineRule="exact"/>
        <w:rPr>
          <w:rFonts w:ascii="仿宋_GB2312" w:hAnsi="仿宋_GB2312" w:eastAsia="仿宋_GB2312" w:cs="仿宋_GB2312"/>
          <w:sz w:val="32"/>
          <w:szCs w:val="32"/>
        </w:rPr>
      </w:pPr>
    </w:p>
    <w:p w14:paraId="57FE0665">
      <w:pPr>
        <w:pStyle w:val="6"/>
        <w:ind w:firstLine="0"/>
      </w:pPr>
    </w:p>
    <w:p w14:paraId="12FE8C98">
      <w:pPr>
        <w:spacing w:line="560" w:lineRule="exact"/>
        <w:rPr>
          <w:rFonts w:ascii="黑体" w:hAnsi="黑体" w:eastAsia="黑体" w:cs="仿宋_GB2312"/>
          <w:sz w:val="32"/>
          <w:szCs w:val="32"/>
        </w:rPr>
      </w:pPr>
      <w:r>
        <w:rPr>
          <w:rFonts w:hint="eastAsia" w:ascii="黑体" w:hAnsi="黑体" w:eastAsia="黑体" w:cs="仿宋_GB2312"/>
          <w:sz w:val="32"/>
          <w:szCs w:val="32"/>
        </w:rPr>
        <w:t>单位名称（公章）：</w:t>
      </w:r>
    </w:p>
    <w:p w14:paraId="40DA5EFA">
      <w:pPr>
        <w:spacing w:line="560" w:lineRule="exact"/>
        <w:rPr>
          <w:rFonts w:ascii="仿宋_GB2312" w:hAnsi="仿宋_GB2312" w:eastAsia="仿宋_GB2312" w:cs="仿宋_GB2312"/>
          <w:sz w:val="32"/>
          <w:szCs w:val="32"/>
        </w:rPr>
      </w:pPr>
      <w:r>
        <w:rPr>
          <w:rFonts w:hint="eastAsia" w:ascii="黑体" w:hAnsi="黑体" w:eastAsia="黑体" w:cs="仿宋_GB2312"/>
          <w:sz w:val="32"/>
          <w:szCs w:val="32"/>
        </w:rPr>
        <w:t>联系人及联系方式：</w:t>
      </w:r>
    </w:p>
    <w:p w14:paraId="331D9416">
      <w:pPr>
        <w:numPr>
          <w:ilvl w:val="0"/>
          <w:numId w:val="1"/>
        </w:numPr>
        <w:spacing w:line="560" w:lineRule="exact"/>
        <w:ind w:firstLine="640"/>
        <w:rPr>
          <w:rFonts w:ascii="仿宋" w:hAnsi="仿宋" w:eastAsia="仿宋" w:cs="仿宋"/>
          <w:sz w:val="32"/>
          <w:szCs w:val="32"/>
        </w:rPr>
      </w:pPr>
      <w:r>
        <w:rPr>
          <w:rFonts w:hint="eastAsia" w:ascii="仿宋" w:hAnsi="仿宋" w:eastAsia="仿宋" w:cs="仿宋"/>
          <w:b/>
          <w:sz w:val="32"/>
          <w:szCs w:val="32"/>
        </w:rPr>
        <w:t>项目名称：</w:t>
      </w:r>
      <w:r>
        <w:rPr>
          <w:rFonts w:hint="eastAsia" w:ascii="仿宋" w:hAnsi="仿宋" w:eastAsia="仿宋" w:cs="仿宋"/>
          <w:sz w:val="32"/>
          <w:szCs w:val="32"/>
        </w:rPr>
        <w:t>安徽建筑大学实验综合楼二楼报告厅升级改造项目</w:t>
      </w:r>
    </w:p>
    <w:p w14:paraId="05C91B7C">
      <w:pPr>
        <w:numPr>
          <w:ilvl w:val="0"/>
          <w:numId w:val="1"/>
        </w:numPr>
        <w:spacing w:line="560" w:lineRule="exact"/>
        <w:ind w:firstLine="643"/>
        <w:rPr>
          <w:rFonts w:ascii="仿宋" w:hAnsi="仿宋" w:eastAsia="仿宋" w:cs="仿宋"/>
          <w:b/>
          <w:sz w:val="32"/>
          <w:szCs w:val="32"/>
        </w:rPr>
      </w:pPr>
      <w:r>
        <w:rPr>
          <w:rFonts w:hint="eastAsia" w:ascii="仿宋" w:hAnsi="仿宋" w:eastAsia="仿宋" w:cs="仿宋"/>
          <w:b/>
          <w:sz w:val="32"/>
          <w:szCs w:val="32"/>
        </w:rPr>
        <w:t>预算金额</w:t>
      </w:r>
      <w:r>
        <w:rPr>
          <w:rFonts w:hint="eastAsia" w:ascii="仿宋" w:hAnsi="仿宋" w:eastAsia="仿宋" w:cs="仿宋"/>
          <w:sz w:val="32"/>
          <w:szCs w:val="32"/>
        </w:rPr>
        <w:t>：</w:t>
      </w:r>
      <w:r>
        <w:rPr>
          <w:rFonts w:hint="eastAsia" w:ascii="仿宋" w:hAnsi="仿宋" w:eastAsia="仿宋" w:cs="仿宋"/>
          <w:color w:val="000000"/>
          <w:kern w:val="0"/>
          <w:sz w:val="31"/>
          <w:szCs w:val="31"/>
          <w:lang w:bidi="ar"/>
        </w:rPr>
        <w:t>97万元</w:t>
      </w:r>
      <w:r>
        <w:rPr>
          <w:rFonts w:hint="eastAsia" w:ascii="仿宋" w:hAnsi="仿宋" w:eastAsia="仿宋" w:cs="仿宋"/>
          <w:sz w:val="32"/>
          <w:szCs w:val="32"/>
        </w:rPr>
        <w:t xml:space="preserve"> </w:t>
      </w:r>
    </w:p>
    <w:p w14:paraId="10EC8644">
      <w:pPr>
        <w:numPr>
          <w:ilvl w:val="0"/>
          <w:numId w:val="1"/>
        </w:numPr>
        <w:spacing w:line="560" w:lineRule="exact"/>
        <w:ind w:firstLine="643"/>
        <w:rPr>
          <w:rFonts w:ascii="仿宋" w:hAnsi="仿宋" w:eastAsia="仿宋" w:cs="仿宋"/>
          <w:b/>
          <w:sz w:val="32"/>
          <w:szCs w:val="32"/>
        </w:rPr>
      </w:pPr>
      <w:r>
        <w:rPr>
          <w:rFonts w:hint="eastAsia" w:ascii="仿宋" w:hAnsi="仿宋" w:eastAsia="仿宋" w:cs="仿宋"/>
          <w:b/>
          <w:sz w:val="32"/>
          <w:szCs w:val="32"/>
        </w:rPr>
        <w:t>项目概况：</w:t>
      </w:r>
    </w:p>
    <w:p w14:paraId="3A1E79F1">
      <w:pPr>
        <w:pStyle w:val="6"/>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安徽建筑大学紫云路校区徽风楼（实验综合楼）二楼报告厅原有显示设备老化拆除改造，拟采购P1.5小间距LED显示屏、2块配套分屏幕及相应的视频处理器及辅助设备，提升报告厅的显示效果，提高显示区域的尺寸、清晰度和亮度，满足各类型会议、活动的召开。徽风楼（实验综合楼）21楼第一会议室原有显示设备老化，此次进行显示设备更换及主席台改造，拟采购P1.5小间距LED显示屏、2台分屏显示及相应的视频处理器及辅助设备。</w:t>
      </w:r>
    </w:p>
    <w:p w14:paraId="72227E8D">
      <w:pPr>
        <w:pStyle w:val="6"/>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学生处数字化多媒体会议室位于紫云路校区大学生活动中心101会议室，建筑面积120平方，具备380V电源引入，学校校园网络终端引入，需购置多媒体设备。</w:t>
      </w:r>
    </w:p>
    <w:p w14:paraId="1E756BA7">
      <w:pPr>
        <w:spacing w:line="560" w:lineRule="exact"/>
        <w:ind w:firstLine="643" w:firstLineChars="200"/>
        <w:outlineLvl w:val="1"/>
        <w:rPr>
          <w:rFonts w:ascii="宋体" w:hAnsi="宋体"/>
          <w:b/>
          <w:sz w:val="24"/>
          <w:szCs w:val="18"/>
        </w:rPr>
      </w:pPr>
      <w:r>
        <w:rPr>
          <w:rFonts w:hint="eastAsia" w:ascii="仿宋" w:hAnsi="仿宋" w:eastAsia="仿宋" w:cs="仿宋"/>
          <w:b/>
          <w:sz w:val="32"/>
          <w:szCs w:val="32"/>
        </w:rPr>
        <w:t>四、主要技术参数</w:t>
      </w:r>
      <w:r>
        <w:rPr>
          <w:rFonts w:hint="eastAsia" w:ascii="仿宋" w:hAnsi="仿宋" w:eastAsia="仿宋" w:cs="仿宋"/>
          <w:b/>
          <w:bCs/>
          <w:sz w:val="32"/>
          <w:szCs w:val="32"/>
        </w:rPr>
        <w:t>【供应商可以批注形式提出合理化建议及方案】</w:t>
      </w:r>
    </w:p>
    <w:p w14:paraId="17CCB607">
      <w:pPr>
        <w:spacing w:line="560" w:lineRule="exact"/>
        <w:ind w:firstLine="640" w:firstLineChars="200"/>
        <w:rPr>
          <w:rFonts w:ascii="方正仿宋_GB2312" w:hAnsi="方正仿宋_GB2312" w:eastAsia="方正仿宋_GB2312" w:cs="方正仿宋_GB2312"/>
          <w:bCs/>
          <w:sz w:val="32"/>
          <w:szCs w:val="32"/>
        </w:rPr>
      </w:pPr>
      <w:r>
        <w:rPr>
          <w:rFonts w:hint="eastAsia" w:ascii="方正仿宋_GB2312" w:hAnsi="方正仿宋_GB2312" w:eastAsia="方正仿宋_GB2312" w:cs="方正仿宋_GB2312"/>
          <w:bCs/>
          <w:sz w:val="32"/>
          <w:szCs w:val="32"/>
        </w:rPr>
        <w:t>（一）</w:t>
      </w:r>
      <w:r>
        <w:rPr>
          <w:rFonts w:hint="eastAsia" w:ascii="仿宋" w:hAnsi="仿宋" w:eastAsia="仿宋" w:cs="仿宋"/>
          <w:sz w:val="32"/>
          <w:szCs w:val="32"/>
        </w:rPr>
        <w:t>徽风楼（实验综合楼）二楼报告厅</w:t>
      </w:r>
    </w:p>
    <w:tbl>
      <w:tblPr>
        <w:tblStyle w:val="7"/>
        <w:tblW w:w="0" w:type="auto"/>
        <w:tblInd w:w="0" w:type="dxa"/>
        <w:tblLayout w:type="autofit"/>
        <w:tblCellMar>
          <w:top w:w="0" w:type="dxa"/>
          <w:left w:w="108" w:type="dxa"/>
          <w:bottom w:w="0" w:type="dxa"/>
          <w:right w:w="108" w:type="dxa"/>
        </w:tblCellMar>
      </w:tblPr>
      <w:tblGrid>
        <w:gridCol w:w="489"/>
        <w:gridCol w:w="815"/>
        <w:gridCol w:w="5986"/>
        <w:gridCol w:w="491"/>
        <w:gridCol w:w="741"/>
      </w:tblGrid>
      <w:tr w14:paraId="6089ACA4">
        <w:tblPrEx>
          <w:tblCellMar>
            <w:top w:w="0" w:type="dxa"/>
            <w:left w:w="108" w:type="dxa"/>
            <w:bottom w:w="0" w:type="dxa"/>
            <w:right w:w="108" w:type="dxa"/>
          </w:tblCellMar>
        </w:tblPrEx>
        <w:trPr>
          <w:trHeight w:val="400"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3EACE38C">
            <w:pPr>
              <w:widowControl/>
              <w:spacing w:line="400" w:lineRule="exact"/>
              <w:jc w:val="center"/>
              <w:textAlignment w:val="center"/>
              <w:rPr>
                <w:rFonts w:ascii="仿宋" w:hAnsi="仿宋" w:eastAsia="仿宋" w:cs="宋体"/>
                <w:bCs/>
                <w:color w:val="000000"/>
                <w:kern w:val="0"/>
                <w:sz w:val="24"/>
                <w:szCs w:val="24"/>
                <w:lang w:bidi="ar"/>
              </w:rPr>
            </w:pPr>
            <w:r>
              <w:rPr>
                <w:rFonts w:hint="eastAsia" w:ascii="仿宋" w:hAnsi="仿宋" w:eastAsia="仿宋" w:cs="宋体"/>
                <w:bCs/>
                <w:color w:val="000000"/>
                <w:kern w:val="0"/>
                <w:sz w:val="24"/>
                <w:szCs w:val="24"/>
                <w:lang w:bidi="ar"/>
              </w:rPr>
              <w:t>序号</w:t>
            </w:r>
          </w:p>
        </w:tc>
        <w:tc>
          <w:tcPr>
            <w:tcW w:w="0" w:type="auto"/>
            <w:tcBorders>
              <w:top w:val="single" w:color="auto" w:sz="4" w:space="0"/>
              <w:left w:val="nil"/>
              <w:bottom w:val="single" w:color="auto" w:sz="4" w:space="0"/>
              <w:right w:val="single" w:color="auto" w:sz="4" w:space="0"/>
            </w:tcBorders>
            <w:shd w:val="clear" w:color="auto" w:fill="auto"/>
            <w:vAlign w:val="center"/>
          </w:tcPr>
          <w:p w14:paraId="5C467224">
            <w:pPr>
              <w:widowControl/>
              <w:spacing w:line="400" w:lineRule="exact"/>
              <w:jc w:val="center"/>
              <w:textAlignment w:val="center"/>
              <w:rPr>
                <w:rFonts w:ascii="仿宋" w:hAnsi="仿宋" w:eastAsia="仿宋" w:cs="宋体"/>
                <w:bCs/>
                <w:color w:val="000000"/>
                <w:kern w:val="0"/>
                <w:sz w:val="24"/>
                <w:szCs w:val="24"/>
                <w:lang w:bidi="ar"/>
              </w:rPr>
            </w:pPr>
            <w:r>
              <w:rPr>
                <w:rFonts w:hint="eastAsia" w:ascii="仿宋" w:hAnsi="仿宋" w:eastAsia="仿宋" w:cs="宋体"/>
                <w:bCs/>
                <w:color w:val="000000"/>
                <w:kern w:val="0"/>
                <w:sz w:val="24"/>
                <w:szCs w:val="24"/>
                <w:lang w:bidi="ar"/>
              </w:rPr>
              <w:t>货物名称</w:t>
            </w:r>
          </w:p>
        </w:tc>
        <w:tc>
          <w:tcPr>
            <w:tcW w:w="0" w:type="auto"/>
            <w:tcBorders>
              <w:top w:val="single" w:color="auto" w:sz="4" w:space="0"/>
              <w:left w:val="nil"/>
              <w:bottom w:val="single" w:color="auto" w:sz="4" w:space="0"/>
              <w:right w:val="single" w:color="auto" w:sz="4" w:space="0"/>
            </w:tcBorders>
            <w:shd w:val="clear" w:color="auto" w:fill="auto"/>
            <w:vAlign w:val="center"/>
          </w:tcPr>
          <w:p w14:paraId="4707CE11">
            <w:pPr>
              <w:widowControl/>
              <w:spacing w:line="400" w:lineRule="exact"/>
              <w:jc w:val="center"/>
              <w:textAlignment w:val="center"/>
              <w:rPr>
                <w:rFonts w:ascii="仿宋" w:hAnsi="仿宋" w:eastAsia="仿宋" w:cs="宋体"/>
                <w:bCs/>
                <w:color w:val="000000"/>
                <w:kern w:val="0"/>
                <w:sz w:val="24"/>
                <w:szCs w:val="24"/>
                <w:lang w:bidi="ar"/>
              </w:rPr>
            </w:pPr>
            <w:r>
              <w:rPr>
                <w:rFonts w:hint="eastAsia" w:ascii="仿宋" w:hAnsi="仿宋" w:eastAsia="仿宋" w:cs="宋体"/>
                <w:bCs/>
                <w:color w:val="000000"/>
                <w:kern w:val="0"/>
                <w:sz w:val="24"/>
                <w:szCs w:val="24"/>
                <w:lang w:bidi="ar"/>
              </w:rPr>
              <w:t>技术参数</w:t>
            </w:r>
          </w:p>
        </w:tc>
        <w:tc>
          <w:tcPr>
            <w:tcW w:w="0" w:type="auto"/>
            <w:tcBorders>
              <w:top w:val="single" w:color="auto" w:sz="4" w:space="0"/>
              <w:left w:val="nil"/>
              <w:bottom w:val="single" w:color="auto" w:sz="4" w:space="0"/>
              <w:right w:val="single" w:color="auto" w:sz="4" w:space="0"/>
            </w:tcBorders>
            <w:shd w:val="clear" w:color="auto" w:fill="auto"/>
            <w:vAlign w:val="center"/>
          </w:tcPr>
          <w:p w14:paraId="4030A3C3">
            <w:pPr>
              <w:widowControl/>
              <w:spacing w:line="400" w:lineRule="exact"/>
              <w:jc w:val="center"/>
              <w:textAlignment w:val="center"/>
              <w:rPr>
                <w:rFonts w:ascii="仿宋" w:hAnsi="仿宋" w:eastAsia="仿宋" w:cs="宋体"/>
                <w:bCs/>
                <w:color w:val="000000"/>
                <w:kern w:val="0"/>
                <w:sz w:val="24"/>
                <w:szCs w:val="24"/>
                <w:lang w:bidi="ar"/>
              </w:rPr>
            </w:pPr>
            <w:r>
              <w:rPr>
                <w:rFonts w:hint="eastAsia" w:ascii="仿宋" w:hAnsi="仿宋" w:eastAsia="仿宋" w:cs="宋体"/>
                <w:bCs/>
                <w:color w:val="000000"/>
                <w:kern w:val="0"/>
                <w:sz w:val="24"/>
                <w:szCs w:val="24"/>
                <w:lang w:bidi="ar"/>
              </w:rPr>
              <w:t>单位</w:t>
            </w:r>
          </w:p>
        </w:tc>
        <w:tc>
          <w:tcPr>
            <w:tcW w:w="0" w:type="auto"/>
            <w:tcBorders>
              <w:top w:val="single" w:color="auto" w:sz="4" w:space="0"/>
              <w:left w:val="nil"/>
              <w:bottom w:val="single" w:color="auto" w:sz="4" w:space="0"/>
              <w:right w:val="single" w:color="auto" w:sz="4" w:space="0"/>
            </w:tcBorders>
            <w:shd w:val="clear" w:color="auto" w:fill="auto"/>
            <w:vAlign w:val="center"/>
          </w:tcPr>
          <w:p w14:paraId="5AD525C7">
            <w:pPr>
              <w:widowControl/>
              <w:spacing w:line="400" w:lineRule="exact"/>
              <w:jc w:val="center"/>
              <w:textAlignment w:val="center"/>
              <w:rPr>
                <w:rFonts w:ascii="仿宋" w:hAnsi="仿宋" w:eastAsia="仿宋" w:cs="宋体"/>
                <w:bCs/>
                <w:color w:val="000000"/>
                <w:kern w:val="0"/>
                <w:sz w:val="24"/>
                <w:szCs w:val="24"/>
                <w:lang w:bidi="ar"/>
              </w:rPr>
            </w:pPr>
            <w:r>
              <w:rPr>
                <w:rFonts w:hint="eastAsia" w:ascii="仿宋" w:hAnsi="仿宋" w:eastAsia="仿宋" w:cs="宋体"/>
                <w:bCs/>
                <w:color w:val="000000"/>
                <w:kern w:val="0"/>
                <w:sz w:val="24"/>
                <w:szCs w:val="24"/>
                <w:lang w:bidi="ar"/>
              </w:rPr>
              <w:t>数量</w:t>
            </w:r>
          </w:p>
        </w:tc>
      </w:tr>
      <w:tr w14:paraId="58918867">
        <w:tblPrEx>
          <w:tblCellMar>
            <w:top w:w="0" w:type="dxa"/>
            <w:left w:w="108" w:type="dxa"/>
            <w:bottom w:w="0" w:type="dxa"/>
            <w:right w:w="108" w:type="dxa"/>
          </w:tblCellMar>
        </w:tblPrEx>
        <w:trPr>
          <w:trHeight w:val="400" w:hRule="atLeast"/>
        </w:trPr>
        <w:tc>
          <w:tcPr>
            <w:tcW w:w="490" w:type="dxa"/>
            <w:tcBorders>
              <w:top w:val="nil"/>
              <w:left w:val="single" w:color="auto" w:sz="4" w:space="0"/>
              <w:bottom w:val="single" w:color="auto" w:sz="4" w:space="0"/>
              <w:right w:val="single" w:color="auto" w:sz="4" w:space="0"/>
            </w:tcBorders>
            <w:shd w:val="clear" w:color="auto" w:fill="auto"/>
            <w:vAlign w:val="center"/>
          </w:tcPr>
          <w:p w14:paraId="1985C4D0">
            <w:pPr>
              <w:widowControl/>
              <w:jc w:val="center"/>
              <w:textAlignment w:val="center"/>
            </w:pPr>
            <w:r>
              <w:rPr>
                <w:rFonts w:hint="eastAsia" w:ascii="宋体" w:hAnsi="宋体" w:cs="宋体"/>
                <w:color w:val="000000"/>
                <w:szCs w:val="21"/>
              </w:rPr>
              <w:t>1</w:t>
            </w:r>
          </w:p>
        </w:tc>
        <w:tc>
          <w:tcPr>
            <w:tcW w:w="817" w:type="dxa"/>
            <w:tcBorders>
              <w:top w:val="nil"/>
              <w:left w:val="nil"/>
              <w:bottom w:val="single" w:color="auto" w:sz="4" w:space="0"/>
              <w:right w:val="single" w:color="auto" w:sz="4" w:space="0"/>
            </w:tcBorders>
            <w:shd w:val="clear" w:color="auto" w:fill="auto"/>
            <w:vAlign w:val="center"/>
          </w:tcPr>
          <w:p w14:paraId="79FCEAFB">
            <w:r>
              <w:rPr>
                <w:rFonts w:hint="eastAsia"/>
              </w:rPr>
              <w:t>室内P1.5全彩显示屏</w:t>
            </w:r>
          </w:p>
        </w:tc>
        <w:tc>
          <w:tcPr>
            <w:tcW w:w="6028" w:type="dxa"/>
            <w:tcBorders>
              <w:top w:val="nil"/>
              <w:left w:val="nil"/>
              <w:bottom w:val="single" w:color="auto" w:sz="4" w:space="0"/>
              <w:right w:val="single" w:color="auto" w:sz="4" w:space="0"/>
            </w:tcBorders>
            <w:shd w:val="clear" w:color="auto" w:fill="auto"/>
            <w:vAlign w:val="center"/>
          </w:tcPr>
          <w:p w14:paraId="47F45E76">
            <w:r>
              <w:rPr>
                <w:rFonts w:hint="eastAsia"/>
              </w:rPr>
              <w:t>二楼大报告厅三块屏尺寸一块屏不小于7.68m*4.32m，两块屏不小于3.2m*1.92m；</w:t>
            </w:r>
            <w:r>
              <w:rPr>
                <w:rFonts w:hint="eastAsia"/>
              </w:rPr>
              <w:br w:type="textWrapping"/>
            </w:r>
            <w:r>
              <w:rPr>
                <w:rFonts w:hint="eastAsia"/>
              </w:rPr>
              <w:t>1、采用表贴三合一灯珠，物理点间距≤1.538mm；</w:t>
            </w:r>
            <w:r>
              <w:rPr>
                <w:rFonts w:hint="eastAsia"/>
              </w:rPr>
              <w:br w:type="textWrapping"/>
            </w:r>
            <w:r>
              <w:rPr>
                <w:rFonts w:hint="eastAsia"/>
              </w:rPr>
              <w:t>2、总显示面积不小于45.48㎡；1屏显示面积：33.18㎡，其中，长7680mm，高4320mm，2、3屏显示面积：6.15㎡，其中，长3200mm，高1920mm，长度偏差不超过±2%，高度偏差不超过±2%；</w:t>
            </w:r>
            <w:r>
              <w:rPr>
                <w:rFonts w:hint="eastAsia"/>
              </w:rPr>
              <w:br w:type="textWrapping"/>
            </w:r>
            <w:r>
              <w:rPr>
                <w:rFonts w:hint="eastAsia"/>
              </w:rPr>
              <w:t>3、箱体采用压铸铝合金或镁合金材质，材质的力学性质性能满足国家标准GB/T3880.2-2024中牌号7075要求，符合GB/T15115-2024《压铸铝合金》标准，抗拉强度不小于200Mpa，屈服强度不小于150Mpa，硬度不小于70HBS。单元纵向、横向拉伸承载力≥2t，四侧面平面度公差≤0.02mm，四侧面垂直度公差≤0.02mm。材料通过环保测试。采用全封闭底壳，为一次性整体压铸成型，精度高，平整度好，全金属自然散热结构，无风扇，防尘和静音设计，采用拟建筑力学底壳设计，结实坚固，产品平整度≤0.1mm；</w:t>
            </w:r>
            <w:r>
              <w:rPr>
                <w:rFonts w:hint="eastAsia"/>
              </w:rPr>
              <w:br w:type="textWrapping"/>
            </w:r>
            <w:r>
              <w:rPr>
                <w:rFonts w:hint="eastAsia"/>
              </w:rPr>
              <w:t>4、★产品最大刷新率≥3840Hz；白平衡亮度：≥600cd/㎡；对比度≥4000:1亮度均匀性≥99.5%，色度均匀性≤±0.001Cx、Cy之内；</w:t>
            </w:r>
            <w:r>
              <w:rPr>
                <w:rFonts w:hint="eastAsia"/>
              </w:rPr>
              <w:br w:type="textWrapping"/>
            </w:r>
            <w:r>
              <w:rPr>
                <w:rFonts w:hint="eastAsia"/>
              </w:rPr>
              <w:t>5、连续工作时间：7×24小时不间断，LED平均无故障工作时间MTBF≥15万小时，故障平均修复时间MTTR不超过3分钟，提供表面具有CMA、ilac-MRA、CNAS标识的检测报告为证；</w:t>
            </w:r>
            <w:r>
              <w:rPr>
                <w:rFonts w:hint="eastAsia"/>
              </w:rPr>
              <w:br w:type="textWrapping"/>
            </w:r>
            <w:r>
              <w:rPr>
                <w:rFonts w:hint="eastAsia"/>
              </w:rPr>
              <w:t>6、盐雾要求：盐雾试验的保护评级（Rp）和外观评级（Ra）均为10级；</w:t>
            </w:r>
            <w:r>
              <w:rPr>
                <w:rFonts w:hint="eastAsia"/>
              </w:rPr>
              <w:br w:type="textWrapping"/>
            </w:r>
            <w:r>
              <w:rPr>
                <w:rFonts w:hint="eastAsia"/>
              </w:rPr>
              <w:t>7、★LED显示单元抗震等级能够承受10级震动烈度，提供表面具有CMA、ilac-MRA、CNAS标识的检测报告为证；</w:t>
            </w:r>
            <w:r>
              <w:rPr>
                <w:rFonts w:hint="eastAsia"/>
              </w:rPr>
              <w:br w:type="textWrapping"/>
            </w:r>
            <w:r>
              <w:rPr>
                <w:rFonts w:hint="eastAsia"/>
              </w:rPr>
              <w:t>8、整屏失控点数：&lt;=0.000001（验收时失控点0），连续失控点为0，盲点率≤0.000001；无常亮点；</w:t>
            </w:r>
            <w:r>
              <w:rPr>
                <w:rFonts w:hint="eastAsia"/>
              </w:rPr>
              <w:br w:type="textWrapping"/>
            </w:r>
            <w:r>
              <w:rPr>
                <w:rFonts w:hint="eastAsia"/>
              </w:rPr>
              <w:t>9、产品具有防潮、防尘、防火、防雷、防虫、防高温、防辐射、防腐蚀、防燃烧、防静电、防碰撞、防摔、防盐雾、抗UV、防电磁干扰等功能，同时具有过流、过压、欠压、短路、断电、漏电保护，分步上电等保护措施。系统具有烟雾、温升和故障报警功能，具有动态扫描保护功能；</w:t>
            </w:r>
            <w:r>
              <w:rPr>
                <w:rFonts w:hint="eastAsia"/>
              </w:rPr>
              <w:br w:type="textWrapping"/>
            </w:r>
            <w:r>
              <w:rPr>
                <w:rFonts w:hint="eastAsia"/>
              </w:rPr>
              <w:t>10、为了保证产品使用稳定性，LED显示屏具备动态扫描方式驱动电路板保护电路；</w:t>
            </w:r>
            <w:r>
              <w:rPr>
                <w:rFonts w:hint="eastAsia"/>
              </w:rPr>
              <w:br w:type="textWrapping"/>
            </w:r>
            <w:r>
              <w:rPr>
                <w:rFonts w:hint="eastAsia"/>
              </w:rPr>
              <w:t>11、具备去消隐功能，可防止因单颗LED反向漏电流异常引起的串亮现象,满足去消隐、无残影；</w:t>
            </w:r>
            <w:r>
              <w:rPr>
                <w:rFonts w:hint="eastAsia"/>
              </w:rPr>
              <w:br w:type="textWrapping"/>
            </w:r>
            <w:r>
              <w:rPr>
                <w:rFonts w:hint="eastAsia"/>
              </w:rPr>
              <w:t>12、照度=10Lux/5600K条件下，显示屏屏幕表面光反射率（单位面积反射亮度）＜3.0cd/m²；</w:t>
            </w:r>
            <w:r>
              <w:rPr>
                <w:rFonts w:hint="eastAsia"/>
              </w:rPr>
              <w:br w:type="textWrapping"/>
            </w:r>
            <w:r>
              <w:rPr>
                <w:rFonts w:hint="eastAsia"/>
              </w:rPr>
              <w:t>13、★LED显示单元对地漏电流≤0.1mA(交流有效值），提供表面具有CMA、ilac-MRA、CNAS标识的检测报告为证；</w:t>
            </w:r>
            <w:r>
              <w:rPr>
                <w:rFonts w:hint="eastAsia"/>
              </w:rPr>
              <w:br w:type="textWrapping"/>
            </w:r>
            <w:r>
              <w:rPr>
                <w:rFonts w:hint="eastAsia"/>
              </w:rPr>
              <w:t>14、★显示单元的色彩还原准确性指标ΔE≤0.9，提供表面具有CMA、ilac-MRA、CNAS标识的检测报告为证；</w:t>
            </w:r>
            <w:r>
              <w:rPr>
                <w:rFonts w:hint="eastAsia"/>
              </w:rPr>
              <w:br w:type="textWrapping"/>
            </w:r>
            <w:r>
              <w:rPr>
                <w:rFonts w:hint="eastAsia"/>
              </w:rPr>
              <w:t>15、★LED显示屏中心蓝光辐射能量值对人眼视网膜无伤害，LED显示屏蓝光辐亮度≤0.5W.m-2.sr-1,符合肉眼观看标准，提供表面具有CMA、ilac-MRA、CNAS标识的检测报告为证。</w:t>
            </w:r>
            <w:r>
              <w:rPr>
                <w:rFonts w:hint="eastAsia"/>
              </w:rPr>
              <w:br w:type="textWrapping"/>
            </w:r>
            <w:r>
              <w:rPr>
                <w:rFonts w:hint="eastAsia"/>
              </w:rPr>
              <w:t>厂家资质：</w:t>
            </w:r>
            <w:r>
              <w:rPr>
                <w:rFonts w:hint="eastAsia"/>
              </w:rPr>
              <w:br w:type="textWrapping"/>
            </w:r>
            <w:r>
              <w:rPr>
                <w:rFonts w:hint="eastAsia"/>
              </w:rPr>
              <w:t>★LED显示屏制造商须通过ISO9001质量体系认证证书、ISO14001环境管理体系认证证书、ISOISO45001职业健康安全管理体系证书，投标人须提供原厂商证书复印件加盖原厂公章供查询。</w:t>
            </w:r>
          </w:p>
        </w:tc>
        <w:tc>
          <w:tcPr>
            <w:tcW w:w="491" w:type="dxa"/>
            <w:tcBorders>
              <w:top w:val="nil"/>
              <w:left w:val="nil"/>
              <w:bottom w:val="single" w:color="auto" w:sz="4" w:space="0"/>
              <w:right w:val="single" w:color="auto" w:sz="4" w:space="0"/>
            </w:tcBorders>
            <w:shd w:val="clear" w:color="auto" w:fill="auto"/>
            <w:vAlign w:val="center"/>
          </w:tcPr>
          <w:p w14:paraId="15DC2766">
            <w:pPr>
              <w:widowControl/>
              <w:jc w:val="center"/>
              <w:textAlignment w:val="center"/>
            </w:pPr>
            <w:r>
              <w:rPr>
                <w:rFonts w:hint="eastAsia" w:ascii="宋体" w:hAnsi="宋体" w:cs="宋体"/>
                <w:color w:val="000000"/>
                <w:szCs w:val="21"/>
              </w:rPr>
              <w:t>平方</w:t>
            </w:r>
          </w:p>
        </w:tc>
        <w:tc>
          <w:tcPr>
            <w:tcW w:w="696" w:type="dxa"/>
            <w:tcBorders>
              <w:top w:val="nil"/>
              <w:left w:val="nil"/>
              <w:bottom w:val="single" w:color="auto" w:sz="4" w:space="0"/>
              <w:right w:val="single" w:color="auto" w:sz="4" w:space="0"/>
            </w:tcBorders>
            <w:shd w:val="clear" w:color="auto" w:fill="auto"/>
            <w:vAlign w:val="center"/>
          </w:tcPr>
          <w:p w14:paraId="3675E352">
            <w:pPr>
              <w:widowControl/>
              <w:jc w:val="center"/>
              <w:textAlignment w:val="center"/>
            </w:pPr>
            <w:r>
              <w:rPr>
                <w:rFonts w:hint="eastAsia" w:ascii="宋体" w:hAnsi="宋体" w:cs="宋体"/>
                <w:color w:val="000000"/>
                <w:szCs w:val="21"/>
              </w:rPr>
              <w:t>4</w:t>
            </w:r>
            <w:r>
              <w:rPr>
                <w:rFonts w:ascii="宋体" w:hAnsi="宋体" w:cs="宋体"/>
                <w:color w:val="000000"/>
                <w:szCs w:val="21"/>
              </w:rPr>
              <w:t>5.48</w:t>
            </w:r>
          </w:p>
        </w:tc>
      </w:tr>
      <w:tr w14:paraId="21501EA5">
        <w:tblPrEx>
          <w:tblCellMar>
            <w:top w:w="0" w:type="dxa"/>
            <w:left w:w="108" w:type="dxa"/>
            <w:bottom w:w="0" w:type="dxa"/>
            <w:right w:w="108" w:type="dxa"/>
          </w:tblCellMar>
        </w:tblPrEx>
        <w:trPr>
          <w:trHeight w:val="400" w:hRule="atLeast"/>
        </w:trPr>
        <w:tc>
          <w:tcPr>
            <w:tcW w:w="490" w:type="dxa"/>
            <w:tcBorders>
              <w:top w:val="nil"/>
              <w:left w:val="single" w:color="auto" w:sz="4" w:space="0"/>
              <w:bottom w:val="single" w:color="auto" w:sz="4" w:space="0"/>
              <w:right w:val="single" w:color="auto" w:sz="4" w:space="0"/>
            </w:tcBorders>
            <w:shd w:val="clear" w:color="auto" w:fill="auto"/>
            <w:vAlign w:val="center"/>
          </w:tcPr>
          <w:p w14:paraId="3A2A353F">
            <w:pPr>
              <w:widowControl/>
              <w:jc w:val="center"/>
              <w:textAlignment w:val="center"/>
            </w:pPr>
            <w:r>
              <w:rPr>
                <w:rFonts w:hint="eastAsia" w:ascii="宋体" w:hAnsi="宋体" w:cs="宋体"/>
                <w:color w:val="000000"/>
                <w:szCs w:val="21"/>
              </w:rPr>
              <w:t>2</w:t>
            </w:r>
          </w:p>
        </w:tc>
        <w:tc>
          <w:tcPr>
            <w:tcW w:w="817" w:type="dxa"/>
            <w:tcBorders>
              <w:top w:val="nil"/>
              <w:left w:val="nil"/>
              <w:bottom w:val="single" w:color="auto" w:sz="4" w:space="0"/>
              <w:right w:val="single" w:color="auto" w:sz="4" w:space="0"/>
            </w:tcBorders>
            <w:shd w:val="clear" w:color="auto" w:fill="auto"/>
            <w:vAlign w:val="center"/>
          </w:tcPr>
          <w:p w14:paraId="1D1B100B">
            <w:r>
              <w:rPr>
                <w:rFonts w:hint="eastAsia"/>
              </w:rPr>
              <w:t>发送卡</w:t>
            </w:r>
          </w:p>
        </w:tc>
        <w:tc>
          <w:tcPr>
            <w:tcW w:w="6028" w:type="dxa"/>
            <w:tcBorders>
              <w:top w:val="nil"/>
              <w:left w:val="nil"/>
              <w:bottom w:val="single" w:color="auto" w:sz="4" w:space="0"/>
              <w:right w:val="single" w:color="auto" w:sz="4" w:space="0"/>
            </w:tcBorders>
            <w:shd w:val="clear" w:color="auto" w:fill="auto"/>
            <w:vAlign w:val="center"/>
          </w:tcPr>
          <w:p w14:paraId="22630E2C">
            <w:r>
              <w:rPr>
                <w:rFonts w:hint="eastAsia"/>
              </w:rPr>
              <w:t>1、不少于1路HDMI及1路DVI输入及1路HDMI信号LOOP输出；</w:t>
            </w:r>
            <w:r>
              <w:rPr>
                <w:rFonts w:hint="eastAsia"/>
              </w:rPr>
              <w:br w:type="textWrapping"/>
            </w:r>
            <w:r>
              <w:rPr>
                <w:rFonts w:hint="eastAsia"/>
              </w:rPr>
              <w:t>2、支持千兆网口输出≥4路或光纤输出≥4路;</w:t>
            </w:r>
            <w:r>
              <w:rPr>
                <w:rFonts w:hint="eastAsia"/>
              </w:rPr>
              <w:br w:type="textWrapping"/>
            </w:r>
            <w:r>
              <w:rPr>
                <w:rFonts w:hint="eastAsia"/>
              </w:rPr>
              <w:t>3、支持亮度和色温调节；</w:t>
            </w:r>
            <w:r>
              <w:rPr>
                <w:rFonts w:hint="eastAsia"/>
              </w:rPr>
              <w:br w:type="textWrapping"/>
            </w:r>
            <w:r>
              <w:rPr>
                <w:rFonts w:hint="eastAsia"/>
              </w:rPr>
              <w:t>4、支持最大带载分辨率：1920×1200，支持分辨率任意设置；</w:t>
            </w:r>
            <w:r>
              <w:rPr>
                <w:rFonts w:hint="eastAsia"/>
              </w:rPr>
              <w:br w:type="textWrapping"/>
            </w:r>
            <w:r>
              <w:rPr>
                <w:rFonts w:hint="eastAsia"/>
              </w:rPr>
              <w:t>5、单卡最大带载面积：230万点，最宽可达4096，最高可达2560点；</w:t>
            </w:r>
            <w:r>
              <w:rPr>
                <w:rFonts w:hint="eastAsia"/>
              </w:rPr>
              <w:br w:type="textWrapping"/>
            </w:r>
            <w:r>
              <w:rPr>
                <w:rFonts w:hint="eastAsia"/>
              </w:rPr>
              <w:t>6、支持AC100～240V超宽工作电压，更强适应性。</w:t>
            </w:r>
          </w:p>
        </w:tc>
        <w:tc>
          <w:tcPr>
            <w:tcW w:w="491" w:type="dxa"/>
            <w:tcBorders>
              <w:top w:val="nil"/>
              <w:left w:val="nil"/>
              <w:bottom w:val="single" w:color="auto" w:sz="4" w:space="0"/>
              <w:right w:val="single" w:color="auto" w:sz="4" w:space="0"/>
            </w:tcBorders>
            <w:shd w:val="clear" w:color="auto" w:fill="auto"/>
            <w:vAlign w:val="center"/>
          </w:tcPr>
          <w:p w14:paraId="764DDDDA">
            <w:pPr>
              <w:widowControl/>
              <w:jc w:val="center"/>
              <w:textAlignment w:val="center"/>
            </w:pPr>
            <w:r>
              <w:rPr>
                <w:rFonts w:hint="eastAsia" w:ascii="宋体" w:hAnsi="宋体" w:cs="宋体"/>
                <w:color w:val="000000"/>
                <w:szCs w:val="21"/>
              </w:rPr>
              <w:t>台</w:t>
            </w:r>
          </w:p>
        </w:tc>
        <w:tc>
          <w:tcPr>
            <w:tcW w:w="696" w:type="dxa"/>
            <w:tcBorders>
              <w:top w:val="nil"/>
              <w:left w:val="nil"/>
              <w:bottom w:val="single" w:color="auto" w:sz="4" w:space="0"/>
              <w:right w:val="single" w:color="auto" w:sz="4" w:space="0"/>
            </w:tcBorders>
            <w:shd w:val="clear" w:color="auto" w:fill="auto"/>
            <w:vAlign w:val="center"/>
          </w:tcPr>
          <w:p w14:paraId="34C20B94">
            <w:pPr>
              <w:widowControl/>
              <w:jc w:val="center"/>
              <w:textAlignment w:val="center"/>
            </w:pPr>
            <w:r>
              <w:rPr>
                <w:rFonts w:ascii="宋体" w:hAnsi="宋体" w:cs="宋体"/>
                <w:color w:val="000000"/>
                <w:szCs w:val="21"/>
              </w:rPr>
              <w:t>17</w:t>
            </w:r>
          </w:p>
        </w:tc>
      </w:tr>
      <w:tr w14:paraId="2FBD38D6">
        <w:tblPrEx>
          <w:tblCellMar>
            <w:top w:w="0" w:type="dxa"/>
            <w:left w:w="108" w:type="dxa"/>
            <w:bottom w:w="0" w:type="dxa"/>
            <w:right w:w="108" w:type="dxa"/>
          </w:tblCellMar>
        </w:tblPrEx>
        <w:trPr>
          <w:trHeight w:val="400" w:hRule="atLeast"/>
        </w:trPr>
        <w:tc>
          <w:tcPr>
            <w:tcW w:w="490" w:type="dxa"/>
            <w:tcBorders>
              <w:top w:val="nil"/>
              <w:left w:val="single" w:color="auto" w:sz="4" w:space="0"/>
              <w:bottom w:val="single" w:color="auto" w:sz="4" w:space="0"/>
              <w:right w:val="single" w:color="auto" w:sz="4" w:space="0"/>
            </w:tcBorders>
            <w:shd w:val="clear" w:color="auto" w:fill="auto"/>
            <w:vAlign w:val="center"/>
          </w:tcPr>
          <w:p w14:paraId="39975ABA">
            <w:pPr>
              <w:widowControl/>
              <w:jc w:val="center"/>
              <w:textAlignment w:val="center"/>
            </w:pPr>
            <w:r>
              <w:rPr>
                <w:rFonts w:hint="eastAsia" w:ascii="宋体" w:hAnsi="宋体" w:cs="宋体"/>
                <w:color w:val="000000"/>
                <w:szCs w:val="21"/>
              </w:rPr>
              <w:t>3</w:t>
            </w:r>
          </w:p>
        </w:tc>
        <w:tc>
          <w:tcPr>
            <w:tcW w:w="817" w:type="dxa"/>
            <w:tcBorders>
              <w:top w:val="nil"/>
              <w:left w:val="nil"/>
              <w:bottom w:val="single" w:color="auto" w:sz="4" w:space="0"/>
              <w:right w:val="single" w:color="auto" w:sz="4" w:space="0"/>
            </w:tcBorders>
            <w:shd w:val="clear" w:color="auto" w:fill="auto"/>
            <w:vAlign w:val="center"/>
          </w:tcPr>
          <w:p w14:paraId="1F9A4B4C">
            <w:r>
              <w:rPr>
                <w:rFonts w:hint="eastAsia"/>
              </w:rPr>
              <w:t>播放</w:t>
            </w:r>
          </w:p>
          <w:p w14:paraId="54A77BA4">
            <w:r>
              <w:rPr>
                <w:rFonts w:hint="eastAsia"/>
              </w:rPr>
              <w:t>软件</w:t>
            </w:r>
          </w:p>
        </w:tc>
        <w:tc>
          <w:tcPr>
            <w:tcW w:w="6028" w:type="dxa"/>
            <w:tcBorders>
              <w:top w:val="nil"/>
              <w:left w:val="nil"/>
              <w:bottom w:val="single" w:color="auto" w:sz="4" w:space="0"/>
              <w:right w:val="single" w:color="auto" w:sz="4" w:space="0"/>
            </w:tcBorders>
            <w:shd w:val="clear" w:color="auto" w:fill="auto"/>
            <w:vAlign w:val="center"/>
          </w:tcPr>
          <w:p w14:paraId="2B245203">
            <w:r>
              <w:rPr>
                <w:rFonts w:hint="eastAsia"/>
              </w:rPr>
              <w:t>1、★支持iOS、安卓、鸿蒙、Windows、MacOS、麒麟等操作系统；</w:t>
            </w:r>
            <w:r>
              <w:rPr>
                <w:rFonts w:hint="eastAsia"/>
              </w:rPr>
              <w:br w:type="textWrapping"/>
            </w:r>
            <w:r>
              <w:rPr>
                <w:rFonts w:hint="eastAsia"/>
              </w:rPr>
              <w:t>2、兼容IE、Webkit、Blink、Gecko等浏览器内核，支持电脑客户端以及手机、平板、PC等多类型移动终端登录；</w:t>
            </w:r>
            <w:r>
              <w:rPr>
                <w:rFonts w:hint="eastAsia"/>
              </w:rPr>
              <w:br w:type="textWrapping"/>
            </w:r>
            <w:r>
              <w:rPr>
                <w:rFonts w:hint="eastAsia"/>
              </w:rPr>
              <w:t>3、支持信号源裁剪，裁剪后生成子信号源，可独立使用，不影响原始信号源画面；</w:t>
            </w:r>
            <w:r>
              <w:rPr>
                <w:rFonts w:hint="eastAsia"/>
              </w:rPr>
              <w:br w:type="textWrapping"/>
            </w:r>
            <w:r>
              <w:rPr>
                <w:rFonts w:hint="eastAsia"/>
              </w:rPr>
              <w:t>4、支持上墙前进行电视墙布局、业务创建、效果预览，编辑过程中对现有大屏业务无影响，确认无误后可点击推送上墙，大屏业务布局无缝切换；</w:t>
            </w:r>
            <w:r>
              <w:rPr>
                <w:rFonts w:hint="eastAsia"/>
              </w:rPr>
              <w:br w:type="textWrapping"/>
            </w:r>
            <w:r>
              <w:rPr>
                <w:rFonts w:hint="eastAsia"/>
              </w:rPr>
              <w:t>5、支持设备实时监测功能，可监测线路链路、设备在线状态、接口状态、端口流量等具体的工作状态，灵活查看不同设备的属性参数；</w:t>
            </w:r>
            <w:r>
              <w:rPr>
                <w:rFonts w:hint="eastAsia"/>
              </w:rPr>
              <w:br w:type="textWrapping"/>
            </w:r>
            <w:r>
              <w:rPr>
                <w:rFonts w:hint="eastAsia"/>
              </w:rPr>
              <w:t>6、支持通过移动客户端智控平台控制电视墙业务，包括一键开窗、分屏、漫游、缩放、场景切换、场景保存、对大屏进行开关机、支持控制多个电视墙；</w:t>
            </w:r>
            <w:r>
              <w:rPr>
                <w:rFonts w:hint="eastAsia"/>
              </w:rPr>
              <w:br w:type="textWrapping"/>
            </w:r>
            <w:r>
              <w:rPr>
                <w:rFonts w:hint="eastAsia"/>
              </w:rPr>
              <w:t>7、可将场景关联中控，使场景与灯光、空调、投影等设备开关量模式联动；</w:t>
            </w:r>
            <w:r>
              <w:rPr>
                <w:rFonts w:hint="eastAsia"/>
              </w:rPr>
              <w:br w:type="textWrapping"/>
            </w:r>
            <w:r>
              <w:rPr>
                <w:rFonts w:hint="eastAsia"/>
              </w:rPr>
              <w:t>8、支持“极简模式”和完整模式切换，可根据实际业务需求选择不同模式。普通操作员使用极简模式，只能操作某一台设备所控制的大屏业务；管理员可以用完整模式，能操作系统内添加的所有设备的业务。</w:t>
            </w:r>
          </w:p>
        </w:tc>
        <w:tc>
          <w:tcPr>
            <w:tcW w:w="491" w:type="dxa"/>
            <w:tcBorders>
              <w:top w:val="nil"/>
              <w:left w:val="nil"/>
              <w:bottom w:val="single" w:color="auto" w:sz="4" w:space="0"/>
              <w:right w:val="single" w:color="auto" w:sz="4" w:space="0"/>
            </w:tcBorders>
            <w:shd w:val="clear" w:color="auto" w:fill="auto"/>
            <w:vAlign w:val="center"/>
          </w:tcPr>
          <w:p w14:paraId="35901E1F">
            <w:pPr>
              <w:widowControl/>
              <w:jc w:val="center"/>
              <w:textAlignment w:val="center"/>
            </w:pPr>
            <w:r>
              <w:rPr>
                <w:rFonts w:hint="eastAsia" w:ascii="宋体" w:hAnsi="宋体" w:cs="宋体"/>
                <w:color w:val="000000"/>
                <w:szCs w:val="21"/>
              </w:rPr>
              <w:t>套</w:t>
            </w:r>
          </w:p>
        </w:tc>
        <w:tc>
          <w:tcPr>
            <w:tcW w:w="696" w:type="dxa"/>
            <w:tcBorders>
              <w:top w:val="nil"/>
              <w:left w:val="nil"/>
              <w:bottom w:val="single" w:color="auto" w:sz="4" w:space="0"/>
              <w:right w:val="single" w:color="auto" w:sz="4" w:space="0"/>
            </w:tcBorders>
            <w:shd w:val="clear" w:color="auto" w:fill="auto"/>
            <w:vAlign w:val="center"/>
          </w:tcPr>
          <w:p w14:paraId="546E1C24">
            <w:pPr>
              <w:widowControl/>
              <w:jc w:val="center"/>
              <w:textAlignment w:val="center"/>
            </w:pPr>
            <w:r>
              <w:rPr>
                <w:rFonts w:hint="eastAsia" w:ascii="宋体" w:hAnsi="宋体" w:cs="宋体"/>
                <w:color w:val="000000"/>
                <w:szCs w:val="21"/>
              </w:rPr>
              <w:t>1</w:t>
            </w:r>
          </w:p>
        </w:tc>
      </w:tr>
      <w:tr w14:paraId="20247F7D">
        <w:tblPrEx>
          <w:tblCellMar>
            <w:top w:w="0" w:type="dxa"/>
            <w:left w:w="108" w:type="dxa"/>
            <w:bottom w:w="0" w:type="dxa"/>
            <w:right w:w="108" w:type="dxa"/>
          </w:tblCellMar>
        </w:tblPrEx>
        <w:trPr>
          <w:trHeight w:val="400" w:hRule="atLeast"/>
        </w:trPr>
        <w:tc>
          <w:tcPr>
            <w:tcW w:w="490" w:type="dxa"/>
            <w:tcBorders>
              <w:top w:val="nil"/>
              <w:left w:val="single" w:color="auto" w:sz="4" w:space="0"/>
              <w:bottom w:val="single" w:color="auto" w:sz="4" w:space="0"/>
              <w:right w:val="single" w:color="auto" w:sz="4" w:space="0"/>
            </w:tcBorders>
            <w:shd w:val="clear" w:color="auto" w:fill="auto"/>
            <w:vAlign w:val="center"/>
          </w:tcPr>
          <w:p w14:paraId="17D56B75">
            <w:pPr>
              <w:widowControl/>
              <w:jc w:val="center"/>
              <w:textAlignment w:val="center"/>
            </w:pPr>
            <w:r>
              <w:rPr>
                <w:rFonts w:hint="eastAsia" w:ascii="宋体" w:hAnsi="宋体" w:cs="宋体"/>
                <w:color w:val="000000"/>
                <w:szCs w:val="21"/>
              </w:rPr>
              <w:t>4</w:t>
            </w:r>
          </w:p>
        </w:tc>
        <w:tc>
          <w:tcPr>
            <w:tcW w:w="817" w:type="dxa"/>
            <w:tcBorders>
              <w:top w:val="nil"/>
              <w:left w:val="nil"/>
              <w:bottom w:val="single" w:color="auto" w:sz="4" w:space="0"/>
              <w:right w:val="single" w:color="auto" w:sz="4" w:space="0"/>
            </w:tcBorders>
            <w:shd w:val="clear" w:color="auto" w:fill="auto"/>
            <w:vAlign w:val="center"/>
          </w:tcPr>
          <w:p w14:paraId="786E132E">
            <w:r>
              <w:rPr>
                <w:rFonts w:hint="eastAsia"/>
              </w:rPr>
              <w:t>屏体结构</w:t>
            </w:r>
          </w:p>
        </w:tc>
        <w:tc>
          <w:tcPr>
            <w:tcW w:w="6028" w:type="dxa"/>
            <w:tcBorders>
              <w:top w:val="nil"/>
              <w:left w:val="nil"/>
              <w:bottom w:val="single" w:color="auto" w:sz="4" w:space="0"/>
              <w:right w:val="single" w:color="auto" w:sz="4" w:space="0"/>
            </w:tcBorders>
            <w:shd w:val="clear" w:color="auto" w:fill="auto"/>
            <w:vAlign w:val="center"/>
          </w:tcPr>
          <w:p w14:paraId="69E4425A">
            <w:r>
              <w:rPr>
                <w:rFonts w:hint="eastAsia"/>
              </w:rPr>
              <w:t>1、包边采用不锈钢材质装饰；</w:t>
            </w:r>
            <w:r>
              <w:rPr>
                <w:rFonts w:hint="eastAsia"/>
              </w:rPr>
              <w:br w:type="textWrapping"/>
            </w:r>
            <w:r>
              <w:rPr>
                <w:rFonts w:hint="eastAsia"/>
              </w:rPr>
              <w:t>2、内部框架采用镀锌钢管焊接，材料厚度≥2mm；</w:t>
            </w:r>
            <w:r>
              <w:rPr>
                <w:rFonts w:hint="eastAsia"/>
              </w:rPr>
              <w:br w:type="textWrapping"/>
            </w:r>
            <w:r>
              <w:rPr>
                <w:rFonts w:hint="eastAsia"/>
              </w:rPr>
              <w:t>3、钢管焊点喷涂防锈油漆防止生锈；</w:t>
            </w:r>
            <w:r>
              <w:rPr>
                <w:rFonts w:hint="eastAsia"/>
              </w:rPr>
              <w:br w:type="textWrapping"/>
            </w:r>
            <w:r>
              <w:rPr>
                <w:rFonts w:hint="eastAsia"/>
              </w:rPr>
              <w:t>4、安装方式：壁挂式安装。</w:t>
            </w:r>
          </w:p>
        </w:tc>
        <w:tc>
          <w:tcPr>
            <w:tcW w:w="491" w:type="dxa"/>
            <w:tcBorders>
              <w:top w:val="nil"/>
              <w:left w:val="nil"/>
              <w:bottom w:val="single" w:color="auto" w:sz="4" w:space="0"/>
              <w:right w:val="single" w:color="auto" w:sz="4" w:space="0"/>
            </w:tcBorders>
            <w:shd w:val="clear" w:color="auto" w:fill="auto"/>
            <w:vAlign w:val="center"/>
          </w:tcPr>
          <w:p w14:paraId="6F233491">
            <w:pPr>
              <w:widowControl/>
              <w:jc w:val="center"/>
              <w:textAlignment w:val="center"/>
            </w:pPr>
            <w:r>
              <w:rPr>
                <w:rFonts w:hint="eastAsia" w:ascii="宋体" w:hAnsi="宋体" w:cs="宋体"/>
                <w:color w:val="000000"/>
                <w:szCs w:val="21"/>
              </w:rPr>
              <w:t>平方</w:t>
            </w:r>
          </w:p>
        </w:tc>
        <w:tc>
          <w:tcPr>
            <w:tcW w:w="696" w:type="dxa"/>
            <w:tcBorders>
              <w:top w:val="nil"/>
              <w:left w:val="nil"/>
              <w:bottom w:val="single" w:color="auto" w:sz="4" w:space="0"/>
              <w:right w:val="single" w:color="auto" w:sz="4" w:space="0"/>
            </w:tcBorders>
            <w:shd w:val="clear" w:color="auto" w:fill="auto"/>
            <w:vAlign w:val="center"/>
          </w:tcPr>
          <w:p w14:paraId="22DEFD60">
            <w:pPr>
              <w:widowControl/>
              <w:jc w:val="center"/>
              <w:textAlignment w:val="center"/>
            </w:pPr>
            <w:r>
              <w:rPr>
                <w:rFonts w:ascii="宋体" w:hAnsi="宋体" w:cs="宋体"/>
                <w:color w:val="000000"/>
                <w:szCs w:val="21"/>
              </w:rPr>
              <w:t>45.48</w:t>
            </w:r>
          </w:p>
        </w:tc>
      </w:tr>
      <w:tr w14:paraId="2EFDE83B">
        <w:tblPrEx>
          <w:tblCellMar>
            <w:top w:w="0" w:type="dxa"/>
            <w:left w:w="108" w:type="dxa"/>
            <w:bottom w:w="0" w:type="dxa"/>
            <w:right w:w="108" w:type="dxa"/>
          </w:tblCellMar>
        </w:tblPrEx>
        <w:trPr>
          <w:trHeight w:val="400" w:hRule="atLeast"/>
        </w:trPr>
        <w:tc>
          <w:tcPr>
            <w:tcW w:w="490" w:type="dxa"/>
            <w:tcBorders>
              <w:top w:val="nil"/>
              <w:left w:val="single" w:color="auto" w:sz="4" w:space="0"/>
              <w:bottom w:val="single" w:color="auto" w:sz="4" w:space="0"/>
              <w:right w:val="single" w:color="auto" w:sz="4" w:space="0"/>
            </w:tcBorders>
            <w:shd w:val="clear" w:color="auto" w:fill="auto"/>
            <w:vAlign w:val="center"/>
          </w:tcPr>
          <w:p w14:paraId="2CBB94FB">
            <w:pPr>
              <w:widowControl/>
              <w:jc w:val="center"/>
              <w:textAlignment w:val="center"/>
            </w:pPr>
            <w:r>
              <w:rPr>
                <w:rFonts w:hint="eastAsia" w:ascii="宋体" w:hAnsi="宋体" w:cs="宋体"/>
                <w:color w:val="000000"/>
                <w:szCs w:val="21"/>
              </w:rPr>
              <w:t>5</w:t>
            </w:r>
          </w:p>
        </w:tc>
        <w:tc>
          <w:tcPr>
            <w:tcW w:w="817" w:type="dxa"/>
            <w:tcBorders>
              <w:top w:val="nil"/>
              <w:left w:val="nil"/>
              <w:bottom w:val="single" w:color="auto" w:sz="4" w:space="0"/>
              <w:right w:val="single" w:color="auto" w:sz="4" w:space="0"/>
            </w:tcBorders>
            <w:shd w:val="clear" w:color="auto" w:fill="auto"/>
            <w:vAlign w:val="center"/>
          </w:tcPr>
          <w:p w14:paraId="536AA437">
            <w:r>
              <w:rPr>
                <w:rFonts w:hint="eastAsia"/>
              </w:rPr>
              <w:t>智能配电箱</w:t>
            </w:r>
          </w:p>
        </w:tc>
        <w:tc>
          <w:tcPr>
            <w:tcW w:w="6028" w:type="dxa"/>
            <w:tcBorders>
              <w:top w:val="nil"/>
              <w:left w:val="nil"/>
              <w:bottom w:val="single" w:color="auto" w:sz="4" w:space="0"/>
              <w:right w:val="single" w:color="auto" w:sz="4" w:space="0"/>
            </w:tcBorders>
            <w:shd w:val="clear" w:color="auto" w:fill="auto"/>
            <w:vAlign w:val="center"/>
          </w:tcPr>
          <w:p w14:paraId="57880283">
            <w:r>
              <w:rPr>
                <w:rFonts w:hint="eastAsia"/>
              </w:rPr>
              <w:t>1、功率容量：40KW；</w:t>
            </w:r>
            <w:r>
              <w:rPr>
                <w:rFonts w:hint="eastAsia"/>
              </w:rPr>
              <w:br w:type="textWrapping"/>
            </w:r>
            <w:r>
              <w:rPr>
                <w:rFonts w:hint="eastAsia"/>
              </w:rPr>
              <w:t>2、输入接线方式：3相5线（380V），输入电压：220/380；</w:t>
            </w:r>
            <w:r>
              <w:rPr>
                <w:rFonts w:hint="eastAsia"/>
              </w:rPr>
              <w:br w:type="textWrapping"/>
            </w:r>
            <w:r>
              <w:rPr>
                <w:rFonts w:hint="eastAsia"/>
              </w:rPr>
              <w:t>3、输出电压：交流220V，输出电流（A）：20，输出分路：12路单相交流220V；</w:t>
            </w:r>
            <w:r>
              <w:rPr>
                <w:rFonts w:hint="eastAsia"/>
              </w:rPr>
              <w:br w:type="textWrapping"/>
            </w:r>
            <w:r>
              <w:rPr>
                <w:rFonts w:hint="eastAsia"/>
              </w:rPr>
              <w:t>4、分路开关容量（A）：20A，单相；</w:t>
            </w:r>
            <w:r>
              <w:rPr>
                <w:rFonts w:hint="eastAsia"/>
              </w:rPr>
              <w:br w:type="textWrapping"/>
            </w:r>
            <w:r>
              <w:rPr>
                <w:rFonts w:hint="eastAsia"/>
              </w:rPr>
              <w:t>5、拥有LED显示屏全智能远程控制系统，可实现对LED智能配电箱的远程设定、控制；</w:t>
            </w:r>
            <w:r>
              <w:rPr>
                <w:rFonts w:hint="eastAsia"/>
              </w:rPr>
              <w:br w:type="textWrapping"/>
            </w:r>
            <w:r>
              <w:rPr>
                <w:rFonts w:hint="eastAsia"/>
              </w:rPr>
              <w:t>6、具有A/B/C三相独立供电指示灯，方便外部判断设备工作状态；</w:t>
            </w:r>
            <w:r>
              <w:rPr>
                <w:rFonts w:hint="eastAsia"/>
              </w:rPr>
              <w:br w:type="textWrapping"/>
            </w:r>
            <w:r>
              <w:rPr>
                <w:rFonts w:hint="eastAsia"/>
              </w:rPr>
              <w:t>7、具有手动一键启动/停止和单点点动控制、远程一键启动/停止和单点点动控制，时控无人值守控制，手动远程互相锁定保证现场屏体维护人员安全，方便屏体手动控制及远程控制切换；</w:t>
            </w:r>
            <w:r>
              <w:rPr>
                <w:rFonts w:hint="eastAsia"/>
              </w:rPr>
              <w:br w:type="textWrapping"/>
            </w:r>
            <w:r>
              <w:rPr>
                <w:rFonts w:hint="eastAsia"/>
              </w:rPr>
              <w:t>8、拥有启动、紧急制停按钮，方便异常状态紧急维护使用；</w:t>
            </w:r>
            <w:r>
              <w:rPr>
                <w:rFonts w:hint="eastAsia"/>
              </w:rPr>
              <w:br w:type="textWrapping"/>
            </w:r>
            <w:r>
              <w:rPr>
                <w:rFonts w:hint="eastAsia"/>
              </w:rPr>
              <w:t>9、机柜可采用壁装、挂装安装方式，具有防虫、防鼠功效。</w:t>
            </w:r>
          </w:p>
        </w:tc>
        <w:tc>
          <w:tcPr>
            <w:tcW w:w="491" w:type="dxa"/>
            <w:tcBorders>
              <w:top w:val="nil"/>
              <w:left w:val="nil"/>
              <w:bottom w:val="single" w:color="auto" w:sz="4" w:space="0"/>
              <w:right w:val="single" w:color="auto" w:sz="4" w:space="0"/>
            </w:tcBorders>
            <w:shd w:val="clear" w:color="auto" w:fill="auto"/>
            <w:vAlign w:val="center"/>
          </w:tcPr>
          <w:p w14:paraId="7902619C">
            <w:pPr>
              <w:widowControl/>
              <w:jc w:val="center"/>
              <w:textAlignment w:val="center"/>
            </w:pPr>
            <w:r>
              <w:rPr>
                <w:rFonts w:hint="eastAsia" w:ascii="宋体" w:hAnsi="宋体" w:cs="宋体"/>
                <w:color w:val="000000"/>
                <w:szCs w:val="21"/>
              </w:rPr>
              <w:t>台</w:t>
            </w:r>
          </w:p>
        </w:tc>
        <w:tc>
          <w:tcPr>
            <w:tcW w:w="696" w:type="dxa"/>
            <w:tcBorders>
              <w:top w:val="nil"/>
              <w:left w:val="nil"/>
              <w:bottom w:val="single" w:color="auto" w:sz="4" w:space="0"/>
              <w:right w:val="single" w:color="auto" w:sz="4" w:space="0"/>
            </w:tcBorders>
            <w:shd w:val="clear" w:color="auto" w:fill="auto"/>
            <w:vAlign w:val="center"/>
          </w:tcPr>
          <w:p w14:paraId="78301F12">
            <w:pPr>
              <w:widowControl/>
              <w:jc w:val="center"/>
              <w:textAlignment w:val="center"/>
            </w:pPr>
            <w:r>
              <w:rPr>
                <w:rFonts w:hint="eastAsia" w:ascii="宋体" w:hAnsi="宋体" w:cs="宋体"/>
                <w:color w:val="000000"/>
                <w:szCs w:val="21"/>
              </w:rPr>
              <w:t>1</w:t>
            </w:r>
          </w:p>
        </w:tc>
      </w:tr>
      <w:tr w14:paraId="03205785">
        <w:tblPrEx>
          <w:tblCellMar>
            <w:top w:w="0" w:type="dxa"/>
            <w:left w:w="108" w:type="dxa"/>
            <w:bottom w:w="0" w:type="dxa"/>
            <w:right w:w="108" w:type="dxa"/>
          </w:tblCellMar>
        </w:tblPrEx>
        <w:trPr>
          <w:trHeight w:val="4223" w:hRule="atLeast"/>
        </w:trPr>
        <w:tc>
          <w:tcPr>
            <w:tcW w:w="490" w:type="dxa"/>
            <w:tcBorders>
              <w:top w:val="nil"/>
              <w:left w:val="single" w:color="auto" w:sz="4" w:space="0"/>
              <w:bottom w:val="single" w:color="auto" w:sz="4" w:space="0"/>
              <w:right w:val="single" w:color="auto" w:sz="4" w:space="0"/>
            </w:tcBorders>
            <w:shd w:val="clear" w:color="auto" w:fill="auto"/>
            <w:vAlign w:val="center"/>
          </w:tcPr>
          <w:p w14:paraId="01D330CB">
            <w:pPr>
              <w:widowControl/>
              <w:jc w:val="center"/>
              <w:textAlignment w:val="center"/>
            </w:pPr>
            <w:r>
              <w:rPr>
                <w:rFonts w:hint="eastAsia" w:ascii="宋体" w:hAnsi="宋体" w:cs="宋体"/>
                <w:color w:val="000000"/>
                <w:szCs w:val="21"/>
              </w:rPr>
              <w:t>6</w:t>
            </w:r>
          </w:p>
        </w:tc>
        <w:tc>
          <w:tcPr>
            <w:tcW w:w="817" w:type="dxa"/>
            <w:tcBorders>
              <w:top w:val="nil"/>
              <w:left w:val="nil"/>
              <w:bottom w:val="single" w:color="auto" w:sz="4" w:space="0"/>
              <w:right w:val="single" w:color="auto" w:sz="4" w:space="0"/>
            </w:tcBorders>
            <w:shd w:val="clear" w:color="auto" w:fill="auto"/>
            <w:vAlign w:val="center"/>
          </w:tcPr>
          <w:p w14:paraId="430D4858">
            <w:r>
              <w:rPr>
                <w:rFonts w:hint="eastAsia"/>
              </w:rPr>
              <w:t>人员存在感知设备</w:t>
            </w:r>
          </w:p>
        </w:tc>
        <w:tc>
          <w:tcPr>
            <w:tcW w:w="6028" w:type="dxa"/>
            <w:tcBorders>
              <w:top w:val="nil"/>
              <w:left w:val="nil"/>
              <w:bottom w:val="single" w:color="auto" w:sz="4" w:space="0"/>
              <w:right w:val="single" w:color="auto" w:sz="4" w:space="0"/>
            </w:tcBorders>
            <w:shd w:val="clear" w:color="auto" w:fill="auto"/>
            <w:vAlign w:val="center"/>
          </w:tcPr>
          <w:p w14:paraId="17C62B4E">
            <w:r>
              <w:rPr>
                <w:rFonts w:hint="eastAsia"/>
              </w:rPr>
              <w:t>为响应低碳环保政策，要求显示屏实时检测环境中人员存在情况，及时打开/关闭大屏；</w:t>
            </w:r>
            <w:r>
              <w:rPr>
                <w:rFonts w:hint="eastAsia"/>
              </w:rPr>
              <w:br w:type="textWrapping"/>
            </w:r>
            <w:r>
              <w:rPr>
                <w:rFonts w:hint="eastAsia"/>
              </w:rPr>
              <w:t>1、支持人员静坐、微动和动态检测；支持有无人告警；支持区域滞留检测；支持持续无人检测；</w:t>
            </w:r>
            <w:r>
              <w:rPr>
                <w:rFonts w:hint="eastAsia"/>
              </w:rPr>
              <w:br w:type="textWrapping"/>
            </w:r>
            <w:r>
              <w:rPr>
                <w:rFonts w:hint="eastAsia"/>
              </w:rPr>
              <w:t>2、调制方式:FMCW；</w:t>
            </w:r>
            <w:r>
              <w:rPr>
                <w:rFonts w:hint="eastAsia"/>
              </w:rPr>
              <w:br w:type="textWrapping"/>
            </w:r>
            <w:r>
              <w:rPr>
                <w:rFonts w:hint="eastAsia"/>
              </w:rPr>
              <w:t>3、工作中心频率:60GHz；</w:t>
            </w:r>
            <w:r>
              <w:rPr>
                <w:rFonts w:hint="eastAsia"/>
              </w:rPr>
              <w:br w:type="textWrapping"/>
            </w:r>
            <w:r>
              <w:rPr>
                <w:rFonts w:hint="eastAsia"/>
              </w:rPr>
              <w:t>4、通信接口:2.4GHzWIFI；</w:t>
            </w:r>
            <w:r>
              <w:rPr>
                <w:rFonts w:hint="eastAsia"/>
              </w:rPr>
              <w:br w:type="textWrapping"/>
            </w:r>
            <w:r>
              <w:rPr>
                <w:rFonts w:hint="eastAsia"/>
              </w:rPr>
              <w:t>5、电源:DC12V；</w:t>
            </w:r>
            <w:r>
              <w:rPr>
                <w:rFonts w:hint="eastAsia"/>
              </w:rPr>
              <w:br w:type="textWrapping"/>
            </w:r>
            <w:r>
              <w:rPr>
                <w:rFonts w:hint="eastAsia"/>
              </w:rPr>
              <w:t>6、工作温度:-20℃~50℃。</w:t>
            </w:r>
            <w:r>
              <w:rPr>
                <w:rFonts w:hint="eastAsia"/>
              </w:rPr>
              <w:br w:type="textWrapping"/>
            </w:r>
            <w:r>
              <w:rPr>
                <w:rFonts w:hint="eastAsia"/>
              </w:rPr>
              <w:t>7、★配合LED大屏显示系统具有智能节能功能，可自由选择开启或关闭，支持检测是否有人观看，以大屏显示面积为检测起始线≤8米无人观看时，大屏可自动关闭。（提供相关功能测试视频为证）。</w:t>
            </w:r>
          </w:p>
        </w:tc>
        <w:tc>
          <w:tcPr>
            <w:tcW w:w="491" w:type="dxa"/>
            <w:tcBorders>
              <w:top w:val="nil"/>
              <w:left w:val="nil"/>
              <w:bottom w:val="single" w:color="auto" w:sz="4" w:space="0"/>
              <w:right w:val="single" w:color="auto" w:sz="4" w:space="0"/>
            </w:tcBorders>
            <w:shd w:val="clear" w:color="auto" w:fill="auto"/>
            <w:vAlign w:val="center"/>
          </w:tcPr>
          <w:p w14:paraId="166286CA">
            <w:pPr>
              <w:widowControl/>
              <w:jc w:val="center"/>
              <w:textAlignment w:val="center"/>
            </w:pPr>
            <w:r>
              <w:rPr>
                <w:rFonts w:hint="eastAsia" w:ascii="宋体" w:hAnsi="宋体" w:cs="宋体"/>
                <w:color w:val="000000"/>
                <w:szCs w:val="21"/>
              </w:rPr>
              <w:t>套</w:t>
            </w:r>
          </w:p>
        </w:tc>
        <w:tc>
          <w:tcPr>
            <w:tcW w:w="696" w:type="dxa"/>
            <w:tcBorders>
              <w:top w:val="nil"/>
              <w:left w:val="nil"/>
              <w:bottom w:val="single" w:color="auto" w:sz="4" w:space="0"/>
              <w:right w:val="single" w:color="auto" w:sz="4" w:space="0"/>
            </w:tcBorders>
            <w:shd w:val="clear" w:color="auto" w:fill="auto"/>
            <w:vAlign w:val="center"/>
          </w:tcPr>
          <w:p w14:paraId="6D5BBD51">
            <w:pPr>
              <w:widowControl/>
              <w:jc w:val="center"/>
              <w:textAlignment w:val="center"/>
            </w:pPr>
            <w:r>
              <w:rPr>
                <w:rFonts w:hint="eastAsia" w:ascii="宋体" w:hAnsi="宋体" w:cs="宋体"/>
                <w:color w:val="000000"/>
                <w:szCs w:val="21"/>
              </w:rPr>
              <w:t>1</w:t>
            </w:r>
          </w:p>
        </w:tc>
      </w:tr>
      <w:tr w14:paraId="2F4B9940">
        <w:tblPrEx>
          <w:tblCellMar>
            <w:top w:w="0" w:type="dxa"/>
            <w:left w:w="108" w:type="dxa"/>
            <w:bottom w:w="0" w:type="dxa"/>
            <w:right w:w="108" w:type="dxa"/>
          </w:tblCellMar>
        </w:tblPrEx>
        <w:trPr>
          <w:trHeight w:val="7164" w:hRule="atLeast"/>
        </w:trPr>
        <w:tc>
          <w:tcPr>
            <w:tcW w:w="490" w:type="dxa"/>
            <w:tcBorders>
              <w:top w:val="single" w:color="auto" w:sz="4" w:space="0"/>
              <w:left w:val="single" w:color="auto" w:sz="4" w:space="0"/>
              <w:bottom w:val="single" w:color="auto" w:sz="4" w:space="0"/>
              <w:right w:val="single" w:color="auto" w:sz="4" w:space="0"/>
            </w:tcBorders>
            <w:shd w:val="clear" w:color="auto" w:fill="auto"/>
            <w:vAlign w:val="center"/>
          </w:tcPr>
          <w:p w14:paraId="41F28D68">
            <w:pPr>
              <w:widowControl/>
              <w:jc w:val="center"/>
              <w:textAlignment w:val="center"/>
            </w:pPr>
            <w:r>
              <w:rPr>
                <w:rFonts w:hint="eastAsia" w:ascii="宋体" w:hAnsi="宋体" w:cs="宋体"/>
                <w:color w:val="000000"/>
                <w:szCs w:val="21"/>
              </w:rPr>
              <w:t>7</w:t>
            </w:r>
          </w:p>
        </w:tc>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14:paraId="7EC9261C">
            <w:r>
              <w:rPr>
                <w:rFonts w:hint="eastAsia"/>
              </w:rPr>
              <w:t>视频处理器</w:t>
            </w:r>
          </w:p>
        </w:tc>
        <w:tc>
          <w:tcPr>
            <w:tcW w:w="6028" w:type="dxa"/>
            <w:tcBorders>
              <w:top w:val="single" w:color="auto" w:sz="4" w:space="0"/>
              <w:left w:val="single" w:color="auto" w:sz="4" w:space="0"/>
              <w:bottom w:val="single" w:color="auto" w:sz="4" w:space="0"/>
              <w:right w:val="single" w:color="auto" w:sz="4" w:space="0"/>
            </w:tcBorders>
            <w:shd w:val="clear" w:color="auto" w:fill="auto"/>
            <w:vAlign w:val="center"/>
          </w:tcPr>
          <w:p w14:paraId="1C9DD9C6">
            <w:r>
              <w:rPr>
                <w:rFonts w:hint="eastAsia"/>
              </w:rPr>
              <w:t>1、采用全硬件FPGA架构，嵌入式Linux操作系统，支持7×24小时稳定运行，为保证设备使用灵活度，设备应采用插卡式机箱设计，可灵活配置板卡；</w:t>
            </w:r>
            <w:r>
              <w:rPr>
                <w:rFonts w:hint="eastAsia"/>
              </w:rPr>
              <w:br w:type="textWrapping"/>
            </w:r>
            <w:r>
              <w:rPr>
                <w:rFonts w:hint="eastAsia"/>
              </w:rPr>
              <w:t>2、设备板卡槽位均可接入具有2口或4口或8口的HDMI/DVI/VGA输入或输出端口的板卡并正常工作；</w:t>
            </w:r>
            <w:r>
              <w:rPr>
                <w:rFonts w:hint="eastAsia"/>
              </w:rPr>
              <w:br w:type="textWrapping"/>
            </w:r>
            <w:r>
              <w:rPr>
                <w:rFonts w:hint="eastAsia"/>
              </w:rPr>
              <w:t>3、★单个输出通道可开32个窗口，提供公安部检测机构出具的检测报告扫描件或影印件；</w:t>
            </w:r>
            <w:r>
              <w:rPr>
                <w:rFonts w:hint="eastAsia"/>
              </w:rPr>
              <w:br w:type="textWrapping"/>
            </w:r>
            <w:r>
              <w:rPr>
                <w:rFonts w:hint="eastAsia"/>
              </w:rPr>
              <w:t>4、★从视频信号正常接入，到视频画面正常显示的时间≤30ms，提供公安部检测机构出具的检测报告扫描件或影印件；</w:t>
            </w:r>
            <w:r>
              <w:rPr>
                <w:rFonts w:hint="eastAsia"/>
              </w:rPr>
              <w:br w:type="textWrapping"/>
            </w:r>
            <w:r>
              <w:rPr>
                <w:rFonts w:hint="eastAsia"/>
              </w:rPr>
              <w:t>5、可对指定的视频画面进行缩放、漫游、跨屏、叠加以及多窗口拼接等操作；</w:t>
            </w:r>
            <w:r>
              <w:rPr>
                <w:rFonts w:hint="eastAsia"/>
              </w:rPr>
              <w:br w:type="textWrapping"/>
            </w:r>
            <w:r>
              <w:rPr>
                <w:rFonts w:hint="eastAsia"/>
              </w:rPr>
              <w:t>6、可将叠加显示的窗口进行置顶或置底操作；</w:t>
            </w:r>
            <w:r>
              <w:rPr>
                <w:rFonts w:hint="eastAsia"/>
              </w:rPr>
              <w:br w:type="textWrapping"/>
            </w:r>
            <w:r>
              <w:rPr>
                <w:rFonts w:hint="eastAsia"/>
              </w:rPr>
              <w:t>7、可对多种场景进行保存和调用，可最多保存128个场景；</w:t>
            </w:r>
            <w:r>
              <w:rPr>
                <w:rFonts w:hint="eastAsia"/>
              </w:rPr>
              <w:br w:type="textWrapping"/>
            </w:r>
            <w:r>
              <w:rPr>
                <w:rFonts w:hint="eastAsia"/>
              </w:rPr>
              <w:t>8、可根据机箱内温度自动调节风扇转速；</w:t>
            </w:r>
            <w:r>
              <w:rPr>
                <w:rFonts w:hint="eastAsia"/>
              </w:rPr>
              <w:br w:type="textWrapping"/>
            </w:r>
            <w:r>
              <w:rPr>
                <w:rFonts w:hint="eastAsia"/>
              </w:rPr>
              <w:t>9、支持控制外接的LED屏幕的手动、定时、倒计时开关机以及延时关机；</w:t>
            </w:r>
            <w:r>
              <w:rPr>
                <w:rFonts w:hint="eastAsia"/>
              </w:rPr>
              <w:br w:type="textWrapping"/>
            </w:r>
            <w:r>
              <w:rPr>
                <w:rFonts w:hint="eastAsia"/>
              </w:rPr>
              <w:t>10、可自动显示接入板卡的类型、在线状态、温度、运行时间、内存使用率、CPU使用率等信息；</w:t>
            </w:r>
            <w:r>
              <w:rPr>
                <w:rFonts w:hint="eastAsia"/>
              </w:rPr>
              <w:br w:type="textWrapping"/>
            </w:r>
            <w:r>
              <w:rPr>
                <w:rFonts w:hint="eastAsia"/>
              </w:rPr>
              <w:t>11、★具有电视墙管理移动客户端软件，具有自主知识产权，提供软件著作权证书；</w:t>
            </w:r>
            <w:r>
              <w:rPr>
                <w:rFonts w:hint="eastAsia"/>
              </w:rPr>
              <w:br w:type="textWrapping"/>
            </w:r>
            <w:r>
              <w:rPr>
                <w:rFonts w:hint="eastAsia"/>
              </w:rPr>
              <w:t>12、配置不少2路4K高清视频输入口、8路高清视频输入口、20路高清视频输出口。</w:t>
            </w:r>
          </w:p>
        </w:tc>
        <w:tc>
          <w:tcPr>
            <w:tcW w:w="491" w:type="dxa"/>
            <w:tcBorders>
              <w:top w:val="single" w:color="auto" w:sz="4" w:space="0"/>
              <w:left w:val="single" w:color="auto" w:sz="4" w:space="0"/>
              <w:bottom w:val="single" w:color="auto" w:sz="4" w:space="0"/>
              <w:right w:val="single" w:color="auto" w:sz="4" w:space="0"/>
            </w:tcBorders>
            <w:shd w:val="clear" w:color="auto" w:fill="auto"/>
            <w:vAlign w:val="center"/>
          </w:tcPr>
          <w:p w14:paraId="1D8254B8">
            <w:pPr>
              <w:widowControl/>
              <w:jc w:val="center"/>
              <w:textAlignment w:val="center"/>
            </w:pPr>
            <w:r>
              <w:rPr>
                <w:rFonts w:hint="eastAsia" w:ascii="宋体" w:hAnsi="宋体" w:cs="宋体"/>
                <w:color w:val="000000"/>
                <w:szCs w:val="21"/>
              </w:rPr>
              <w:t>台</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14:paraId="284B193C">
            <w:pPr>
              <w:widowControl/>
              <w:jc w:val="center"/>
              <w:textAlignment w:val="center"/>
            </w:pPr>
            <w:r>
              <w:rPr>
                <w:rFonts w:hint="eastAsia" w:ascii="宋体" w:hAnsi="宋体" w:cs="宋体"/>
                <w:color w:val="000000"/>
                <w:szCs w:val="21"/>
              </w:rPr>
              <w:t>1</w:t>
            </w:r>
          </w:p>
        </w:tc>
      </w:tr>
      <w:tr w14:paraId="096E4FDE">
        <w:tblPrEx>
          <w:tblCellMar>
            <w:top w:w="0" w:type="dxa"/>
            <w:left w:w="108" w:type="dxa"/>
            <w:bottom w:w="0" w:type="dxa"/>
            <w:right w:w="108" w:type="dxa"/>
          </w:tblCellMar>
        </w:tblPrEx>
        <w:trPr>
          <w:trHeight w:val="2258" w:hRule="atLeast"/>
        </w:trPr>
        <w:tc>
          <w:tcPr>
            <w:tcW w:w="490" w:type="dxa"/>
            <w:tcBorders>
              <w:top w:val="single" w:color="auto" w:sz="4" w:space="0"/>
              <w:left w:val="single" w:color="auto" w:sz="4" w:space="0"/>
              <w:bottom w:val="single" w:color="auto" w:sz="4" w:space="0"/>
              <w:right w:val="single" w:color="auto" w:sz="4" w:space="0"/>
            </w:tcBorders>
            <w:shd w:val="clear" w:color="auto" w:fill="auto"/>
            <w:vAlign w:val="center"/>
          </w:tcPr>
          <w:p w14:paraId="3728C508">
            <w:r>
              <w:rPr>
                <w:rFonts w:hint="eastAsia"/>
              </w:rPr>
              <w:t>8</w:t>
            </w:r>
          </w:p>
        </w:tc>
        <w:tc>
          <w:tcPr>
            <w:tcW w:w="817" w:type="dxa"/>
            <w:tcBorders>
              <w:top w:val="single" w:color="auto" w:sz="4" w:space="0"/>
              <w:left w:val="single" w:color="auto" w:sz="4" w:space="0"/>
              <w:bottom w:val="single" w:color="auto" w:sz="4" w:space="0"/>
              <w:right w:val="single" w:color="auto" w:sz="4" w:space="0"/>
            </w:tcBorders>
            <w:shd w:val="clear" w:color="auto" w:fill="auto"/>
            <w:vAlign w:val="center"/>
          </w:tcPr>
          <w:p w14:paraId="36CC88E1">
            <w:r>
              <w:rPr>
                <w:rFonts w:hint="eastAsia"/>
              </w:rPr>
              <w:t>会议控制电脑</w:t>
            </w:r>
          </w:p>
        </w:tc>
        <w:tc>
          <w:tcPr>
            <w:tcW w:w="6028" w:type="dxa"/>
            <w:tcBorders>
              <w:top w:val="single" w:color="auto" w:sz="4" w:space="0"/>
              <w:left w:val="single" w:color="auto" w:sz="4" w:space="0"/>
              <w:bottom w:val="single" w:color="auto" w:sz="4" w:space="0"/>
              <w:right w:val="single" w:color="auto" w:sz="4" w:space="0"/>
            </w:tcBorders>
            <w:shd w:val="clear" w:color="auto" w:fill="auto"/>
            <w:vAlign w:val="center"/>
          </w:tcPr>
          <w:p w14:paraId="74F747A5">
            <w:r>
              <w:rPr>
                <w:rFonts w:hint="eastAsia"/>
              </w:rPr>
              <w:t>1、</w:t>
            </w:r>
            <w:r>
              <w:t>CPU</w:t>
            </w:r>
            <w:r>
              <w:rPr>
                <w:rFonts w:hint="eastAsia"/>
              </w:rPr>
              <w:t>：酷睿Ultra</w:t>
            </w:r>
            <w:r>
              <w:t xml:space="preserve"> </w:t>
            </w:r>
            <w:r>
              <w:rPr>
                <w:rFonts w:hint="eastAsia"/>
              </w:rPr>
              <w:t>18线程；</w:t>
            </w:r>
          </w:p>
          <w:p w14:paraId="7643F0AB">
            <w:pPr>
              <w:rPr>
                <w:rFonts w:hint="eastAsia"/>
              </w:rPr>
            </w:pPr>
            <w:r>
              <w:rPr>
                <w:rFonts w:hint="eastAsia"/>
              </w:rPr>
              <w:t>2、内存：</w:t>
            </w:r>
            <w:r>
              <w:t>16GB</w:t>
            </w:r>
            <w:r>
              <w:rPr>
                <w:rFonts w:hint="eastAsia"/>
              </w:rPr>
              <w:t xml:space="preserve"> ；</w:t>
            </w:r>
          </w:p>
          <w:p w14:paraId="4D990157">
            <w:r>
              <w:rPr>
                <w:rFonts w:hint="eastAsia"/>
              </w:rPr>
              <w:t>3、硬盘：</w:t>
            </w:r>
            <w:r>
              <w:t>1TB SSD</w:t>
            </w:r>
            <w:r>
              <w:rPr>
                <w:rFonts w:hint="eastAsia"/>
              </w:rPr>
              <w:t>；</w:t>
            </w:r>
          </w:p>
          <w:p w14:paraId="176D076E">
            <w:pPr>
              <w:rPr>
                <w:rFonts w:hint="eastAsia"/>
              </w:rPr>
            </w:pPr>
            <w:r>
              <w:rPr>
                <w:rFonts w:hint="eastAsia"/>
              </w:rPr>
              <w:t>4、屏幕：14英寸，</w:t>
            </w:r>
            <w:r>
              <w:t>120Hz</w:t>
            </w:r>
            <w:r>
              <w:rPr>
                <w:rFonts w:hint="eastAsia"/>
              </w:rPr>
              <w:t>，分辨率≥2</w:t>
            </w:r>
            <w:r>
              <w:t>K</w:t>
            </w:r>
            <w:r>
              <w:rPr>
                <w:rFonts w:hint="eastAsia"/>
              </w:rPr>
              <w:t>，</w:t>
            </w:r>
            <w:r>
              <w:t>100%sRGB</w:t>
            </w:r>
            <w:r>
              <w:rPr>
                <w:rFonts w:hint="eastAsia"/>
              </w:rPr>
              <w:t>；</w:t>
            </w:r>
          </w:p>
          <w:p w14:paraId="722DC41F">
            <w:pPr>
              <w:rPr>
                <w:rFonts w:hint="eastAsia"/>
              </w:rPr>
            </w:pPr>
            <w:r>
              <w:rPr>
                <w:rFonts w:hint="eastAsia"/>
              </w:rPr>
              <w:t>5、电池：额定容量7</w:t>
            </w:r>
            <w:r>
              <w:t>7Wh</w:t>
            </w:r>
            <w:r>
              <w:rPr>
                <w:rFonts w:hint="eastAsia"/>
              </w:rPr>
              <w:t>，配套原厂充电器；</w:t>
            </w:r>
          </w:p>
          <w:p w14:paraId="47E3AEB5">
            <w:r>
              <w:rPr>
                <w:rFonts w:hint="eastAsia"/>
              </w:rPr>
              <w:t>6、系统配置：正版Windows 11；</w:t>
            </w:r>
          </w:p>
          <w:p w14:paraId="5041B390">
            <w:pPr>
              <w:rPr>
                <w:rFonts w:hint="eastAsia"/>
              </w:rPr>
            </w:pPr>
            <w:r>
              <w:t>7</w:t>
            </w:r>
            <w:r>
              <w:rPr>
                <w:rFonts w:hint="eastAsia"/>
              </w:rPr>
              <w:t>、机身材质：金属+复合材质；</w:t>
            </w:r>
          </w:p>
        </w:tc>
        <w:tc>
          <w:tcPr>
            <w:tcW w:w="491" w:type="dxa"/>
            <w:tcBorders>
              <w:top w:val="single" w:color="auto" w:sz="4" w:space="0"/>
              <w:left w:val="single" w:color="auto" w:sz="4" w:space="0"/>
              <w:bottom w:val="single" w:color="auto" w:sz="4" w:space="0"/>
              <w:right w:val="single" w:color="auto" w:sz="4" w:space="0"/>
            </w:tcBorders>
            <w:shd w:val="clear" w:color="auto" w:fill="auto"/>
            <w:vAlign w:val="center"/>
          </w:tcPr>
          <w:p w14:paraId="262DBF08">
            <w:pPr>
              <w:widowControl/>
              <w:jc w:val="center"/>
              <w:textAlignment w:val="center"/>
            </w:pPr>
            <w:r>
              <w:rPr>
                <w:rFonts w:hint="eastAsia" w:ascii="宋体" w:hAnsi="宋体" w:cs="宋体"/>
                <w:color w:val="000000"/>
                <w:szCs w:val="21"/>
              </w:rPr>
              <w:t>台</w:t>
            </w:r>
          </w:p>
        </w:tc>
        <w:tc>
          <w:tcPr>
            <w:tcW w:w="696" w:type="dxa"/>
            <w:tcBorders>
              <w:top w:val="single" w:color="auto" w:sz="4" w:space="0"/>
              <w:left w:val="single" w:color="auto" w:sz="4" w:space="0"/>
              <w:bottom w:val="single" w:color="auto" w:sz="4" w:space="0"/>
              <w:right w:val="single" w:color="auto" w:sz="4" w:space="0"/>
            </w:tcBorders>
            <w:shd w:val="clear" w:color="auto" w:fill="auto"/>
            <w:vAlign w:val="center"/>
          </w:tcPr>
          <w:p w14:paraId="4A3E7FBE">
            <w:r>
              <w:rPr>
                <w:rFonts w:hint="eastAsia"/>
              </w:rPr>
              <w:t>1</w:t>
            </w:r>
          </w:p>
        </w:tc>
      </w:tr>
      <w:tr w14:paraId="43CBE809">
        <w:tblPrEx>
          <w:tblCellMar>
            <w:top w:w="0" w:type="dxa"/>
            <w:left w:w="108" w:type="dxa"/>
            <w:bottom w:w="0" w:type="dxa"/>
            <w:right w:w="108" w:type="dxa"/>
          </w:tblCellMar>
        </w:tblPrEx>
        <w:trPr>
          <w:trHeight w:val="400" w:hRule="atLeast"/>
        </w:trPr>
        <w:tc>
          <w:tcPr>
            <w:tcW w:w="490" w:type="dxa"/>
            <w:tcBorders>
              <w:top w:val="single" w:color="auto" w:sz="4" w:space="0"/>
              <w:left w:val="single" w:color="auto" w:sz="4" w:space="0"/>
              <w:bottom w:val="single" w:color="auto" w:sz="4" w:space="0"/>
              <w:right w:val="single" w:color="auto" w:sz="4" w:space="0"/>
            </w:tcBorders>
            <w:shd w:val="clear" w:color="auto" w:fill="auto"/>
            <w:vAlign w:val="center"/>
          </w:tcPr>
          <w:p w14:paraId="3ABD6421">
            <w:r>
              <w:rPr>
                <w:rFonts w:hint="eastAsia"/>
              </w:rPr>
              <w:t>9</w:t>
            </w:r>
          </w:p>
        </w:tc>
        <w:tc>
          <w:tcPr>
            <w:tcW w:w="817" w:type="dxa"/>
            <w:tcBorders>
              <w:top w:val="single" w:color="auto" w:sz="4" w:space="0"/>
              <w:left w:val="nil"/>
              <w:bottom w:val="single" w:color="auto" w:sz="4" w:space="0"/>
              <w:right w:val="single" w:color="auto" w:sz="4" w:space="0"/>
            </w:tcBorders>
            <w:shd w:val="clear" w:color="auto" w:fill="auto"/>
            <w:vAlign w:val="center"/>
          </w:tcPr>
          <w:p w14:paraId="1ED89962">
            <w:r>
              <w:rPr>
                <w:rFonts w:hint="eastAsia"/>
              </w:rPr>
              <w:t>安装</w:t>
            </w:r>
          </w:p>
          <w:p w14:paraId="355BE3E3">
            <w:r>
              <w:rPr>
                <w:rFonts w:hint="eastAsia"/>
              </w:rPr>
              <w:t>调试</w:t>
            </w:r>
          </w:p>
        </w:tc>
        <w:tc>
          <w:tcPr>
            <w:tcW w:w="6028" w:type="dxa"/>
            <w:tcBorders>
              <w:top w:val="single" w:color="auto" w:sz="4" w:space="0"/>
              <w:left w:val="nil"/>
              <w:bottom w:val="single" w:color="auto" w:sz="4" w:space="0"/>
              <w:right w:val="single" w:color="auto" w:sz="4" w:space="0"/>
            </w:tcBorders>
            <w:shd w:val="clear" w:color="auto" w:fill="auto"/>
            <w:vAlign w:val="center"/>
          </w:tcPr>
          <w:p w14:paraId="1CE50266">
            <w:r>
              <w:rPr>
                <w:rFonts w:hint="eastAsia"/>
              </w:rPr>
              <w:t>安装、运输、调试、培训；售后；</w:t>
            </w:r>
            <w:r>
              <w:rPr>
                <w:rFonts w:hint="eastAsia"/>
              </w:rPr>
              <w:br w:type="textWrapping"/>
            </w:r>
            <w:r>
              <w:rPr>
                <w:rFonts w:hint="eastAsia"/>
              </w:rPr>
              <w:t>1、屏体现场符合安装调试、产品交付，安全防范标准、技术和工艺标准；</w:t>
            </w:r>
            <w:r>
              <w:rPr>
                <w:rFonts w:hint="eastAsia"/>
              </w:rPr>
              <w:br w:type="textWrapping"/>
            </w:r>
            <w:r>
              <w:rPr>
                <w:rFonts w:hint="eastAsia"/>
              </w:rPr>
              <w:t>2、现场规范移交对接训和基本操作培训；</w:t>
            </w:r>
            <w:r>
              <w:rPr>
                <w:rFonts w:hint="eastAsia"/>
              </w:rPr>
              <w:br w:type="textWrapping"/>
            </w:r>
            <w:r>
              <w:rPr>
                <w:rFonts w:hint="eastAsia"/>
              </w:rPr>
              <w:t>3、含货物运输现场车辆运输费用；</w:t>
            </w:r>
            <w:r>
              <w:rPr>
                <w:rFonts w:hint="eastAsia"/>
              </w:rPr>
              <w:br w:type="textWrapping"/>
            </w:r>
            <w:r>
              <w:rPr>
                <w:rFonts w:hint="eastAsia"/>
              </w:rPr>
              <w:t>4、含三年内免费上门售后。</w:t>
            </w:r>
          </w:p>
        </w:tc>
        <w:tc>
          <w:tcPr>
            <w:tcW w:w="491" w:type="dxa"/>
            <w:tcBorders>
              <w:top w:val="single" w:color="auto" w:sz="4" w:space="0"/>
              <w:left w:val="nil"/>
              <w:bottom w:val="single" w:color="auto" w:sz="4" w:space="0"/>
              <w:right w:val="single" w:color="auto" w:sz="4" w:space="0"/>
            </w:tcBorders>
            <w:shd w:val="clear" w:color="auto" w:fill="auto"/>
            <w:vAlign w:val="center"/>
          </w:tcPr>
          <w:p w14:paraId="16BBBDF2">
            <w:pPr>
              <w:widowControl/>
              <w:jc w:val="center"/>
              <w:textAlignment w:val="center"/>
            </w:pPr>
            <w:r>
              <w:rPr>
                <w:rFonts w:hint="eastAsia" w:ascii="宋体" w:hAnsi="宋体" w:cs="宋体"/>
                <w:color w:val="000000"/>
                <w:szCs w:val="21"/>
              </w:rPr>
              <w:t>项</w:t>
            </w:r>
          </w:p>
        </w:tc>
        <w:tc>
          <w:tcPr>
            <w:tcW w:w="696" w:type="dxa"/>
            <w:tcBorders>
              <w:top w:val="single" w:color="auto" w:sz="4" w:space="0"/>
              <w:left w:val="nil"/>
              <w:bottom w:val="single" w:color="auto" w:sz="4" w:space="0"/>
              <w:right w:val="single" w:color="auto" w:sz="4" w:space="0"/>
            </w:tcBorders>
            <w:shd w:val="clear" w:color="auto" w:fill="auto"/>
            <w:vAlign w:val="center"/>
          </w:tcPr>
          <w:p w14:paraId="3664225D">
            <w:r>
              <w:rPr>
                <w:rFonts w:hint="eastAsia"/>
              </w:rPr>
              <w:t>1</w:t>
            </w:r>
          </w:p>
        </w:tc>
      </w:tr>
      <w:tr w14:paraId="70C73DED">
        <w:tblPrEx>
          <w:tblCellMar>
            <w:top w:w="0" w:type="dxa"/>
            <w:left w:w="108" w:type="dxa"/>
            <w:bottom w:w="0" w:type="dxa"/>
            <w:right w:w="108" w:type="dxa"/>
          </w:tblCellMar>
        </w:tblPrEx>
        <w:trPr>
          <w:trHeight w:val="1491" w:hRule="atLeast"/>
        </w:trPr>
        <w:tc>
          <w:tcPr>
            <w:tcW w:w="490" w:type="dxa"/>
            <w:tcBorders>
              <w:top w:val="nil"/>
              <w:left w:val="single" w:color="auto" w:sz="4" w:space="0"/>
              <w:bottom w:val="single" w:color="auto" w:sz="4" w:space="0"/>
              <w:right w:val="single" w:color="auto" w:sz="4" w:space="0"/>
            </w:tcBorders>
            <w:shd w:val="clear" w:color="auto" w:fill="auto"/>
            <w:vAlign w:val="center"/>
          </w:tcPr>
          <w:p w14:paraId="6F67EED1">
            <w:r>
              <w:rPr>
                <w:rFonts w:hint="eastAsia"/>
              </w:rPr>
              <w:t>10</w:t>
            </w:r>
          </w:p>
        </w:tc>
        <w:tc>
          <w:tcPr>
            <w:tcW w:w="817" w:type="dxa"/>
            <w:tcBorders>
              <w:top w:val="nil"/>
              <w:left w:val="nil"/>
              <w:bottom w:val="single" w:color="auto" w:sz="4" w:space="0"/>
              <w:right w:val="single" w:color="auto" w:sz="4" w:space="0"/>
            </w:tcBorders>
            <w:shd w:val="clear" w:color="auto" w:fill="auto"/>
            <w:vAlign w:val="center"/>
          </w:tcPr>
          <w:p w14:paraId="0E245D71">
            <w:r>
              <w:rPr>
                <w:rFonts w:hint="eastAsia"/>
              </w:rPr>
              <w:t>相关</w:t>
            </w:r>
          </w:p>
          <w:p w14:paraId="7900247B">
            <w:r>
              <w:rPr>
                <w:rFonts w:hint="eastAsia"/>
              </w:rPr>
              <w:t>配件</w:t>
            </w:r>
          </w:p>
        </w:tc>
        <w:tc>
          <w:tcPr>
            <w:tcW w:w="6028" w:type="dxa"/>
            <w:tcBorders>
              <w:top w:val="nil"/>
              <w:left w:val="nil"/>
              <w:bottom w:val="single" w:color="auto" w:sz="4" w:space="0"/>
              <w:right w:val="single" w:color="auto" w:sz="4" w:space="0"/>
            </w:tcBorders>
            <w:shd w:val="clear" w:color="auto" w:fill="auto"/>
            <w:vAlign w:val="center"/>
          </w:tcPr>
          <w:p w14:paraId="3105828F">
            <w:r>
              <w:rPr>
                <w:rFonts w:hint="eastAsia"/>
              </w:rPr>
              <w:t>1、国标铜芯动力电源线，6类国标网线，连接线、接头、插头等满足现场需要；</w:t>
            </w:r>
            <w:r>
              <w:rPr>
                <w:rFonts w:hint="eastAsia"/>
              </w:rPr>
              <w:br w:type="textWrapping"/>
            </w:r>
            <w:r>
              <w:rPr>
                <w:rFonts w:hint="eastAsia"/>
              </w:rPr>
              <w:t>2、对原有主席台下方信号线、网线重新布置并更换，保证主席台信号线全部更新并保持美观整洁。</w:t>
            </w:r>
          </w:p>
        </w:tc>
        <w:tc>
          <w:tcPr>
            <w:tcW w:w="491" w:type="dxa"/>
            <w:tcBorders>
              <w:top w:val="nil"/>
              <w:left w:val="nil"/>
              <w:bottom w:val="single" w:color="auto" w:sz="4" w:space="0"/>
              <w:right w:val="single" w:color="auto" w:sz="4" w:space="0"/>
            </w:tcBorders>
            <w:shd w:val="clear" w:color="auto" w:fill="auto"/>
            <w:vAlign w:val="center"/>
          </w:tcPr>
          <w:p w14:paraId="24A1C82C">
            <w:pPr>
              <w:widowControl/>
              <w:jc w:val="center"/>
              <w:textAlignment w:val="center"/>
            </w:pPr>
            <w:r>
              <w:rPr>
                <w:rFonts w:hint="eastAsia" w:ascii="宋体" w:hAnsi="宋体" w:cs="宋体"/>
                <w:color w:val="000000"/>
                <w:szCs w:val="21"/>
              </w:rPr>
              <w:t>项</w:t>
            </w:r>
          </w:p>
        </w:tc>
        <w:tc>
          <w:tcPr>
            <w:tcW w:w="696" w:type="dxa"/>
            <w:tcBorders>
              <w:top w:val="nil"/>
              <w:left w:val="nil"/>
              <w:bottom w:val="single" w:color="auto" w:sz="4" w:space="0"/>
              <w:right w:val="single" w:color="auto" w:sz="4" w:space="0"/>
            </w:tcBorders>
            <w:shd w:val="clear" w:color="auto" w:fill="auto"/>
            <w:vAlign w:val="center"/>
          </w:tcPr>
          <w:p w14:paraId="77C50539">
            <w:r>
              <w:rPr>
                <w:rFonts w:hint="eastAsia"/>
              </w:rPr>
              <w:t>1</w:t>
            </w:r>
          </w:p>
        </w:tc>
      </w:tr>
    </w:tbl>
    <w:p w14:paraId="52C96AAE">
      <w:pPr>
        <w:spacing w:line="560" w:lineRule="exact"/>
        <w:ind w:firstLine="640" w:firstLineChars="200"/>
        <w:rPr>
          <w:rFonts w:ascii="方正仿宋_GB2312" w:hAnsi="方正仿宋_GB2312" w:eastAsia="方正仿宋_GB2312" w:cs="方正仿宋_GB2312"/>
          <w:bCs/>
          <w:sz w:val="32"/>
          <w:szCs w:val="32"/>
        </w:rPr>
      </w:pPr>
      <w:r>
        <w:rPr>
          <w:rFonts w:hint="eastAsia" w:ascii="方正仿宋_GB2312" w:hAnsi="方正仿宋_GB2312" w:eastAsia="方正仿宋_GB2312" w:cs="方正仿宋_GB2312"/>
          <w:bCs/>
          <w:sz w:val="32"/>
          <w:szCs w:val="32"/>
        </w:rPr>
        <w:t>（二）</w:t>
      </w:r>
      <w:r>
        <w:rPr>
          <w:rFonts w:hint="eastAsia" w:ascii="仿宋" w:hAnsi="仿宋" w:eastAsia="仿宋" w:cs="仿宋"/>
          <w:sz w:val="32"/>
          <w:szCs w:val="32"/>
        </w:rPr>
        <w:t>徽风楼（实验综合楼）21楼第一会议室</w:t>
      </w:r>
    </w:p>
    <w:tbl>
      <w:tblPr>
        <w:tblStyle w:val="7"/>
        <w:tblW w:w="0" w:type="auto"/>
        <w:tblInd w:w="0" w:type="dxa"/>
        <w:tblLayout w:type="autofit"/>
        <w:tblCellMar>
          <w:top w:w="0" w:type="dxa"/>
          <w:left w:w="108" w:type="dxa"/>
          <w:bottom w:w="0" w:type="dxa"/>
          <w:right w:w="108" w:type="dxa"/>
        </w:tblCellMar>
      </w:tblPr>
      <w:tblGrid>
        <w:gridCol w:w="458"/>
        <w:gridCol w:w="821"/>
        <w:gridCol w:w="6091"/>
        <w:gridCol w:w="457"/>
        <w:gridCol w:w="695"/>
      </w:tblGrid>
      <w:tr w14:paraId="0EA91455">
        <w:tblPrEx>
          <w:tblCellMar>
            <w:top w:w="0" w:type="dxa"/>
            <w:left w:w="108" w:type="dxa"/>
            <w:bottom w:w="0" w:type="dxa"/>
            <w:right w:w="108" w:type="dxa"/>
          </w:tblCellMar>
        </w:tblPrEx>
        <w:trPr>
          <w:trHeight w:val="400"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655EF0F9">
            <w:pPr>
              <w:widowControl/>
              <w:spacing w:line="400" w:lineRule="exact"/>
              <w:jc w:val="center"/>
              <w:textAlignment w:val="center"/>
              <w:rPr>
                <w:rFonts w:ascii="仿宋" w:hAnsi="仿宋" w:eastAsia="仿宋" w:cs="宋体"/>
                <w:bCs/>
                <w:color w:val="000000"/>
                <w:kern w:val="0"/>
                <w:sz w:val="24"/>
                <w:szCs w:val="24"/>
                <w:lang w:bidi="ar"/>
              </w:rPr>
            </w:pPr>
            <w:r>
              <w:rPr>
                <w:rFonts w:hint="eastAsia" w:ascii="仿宋" w:hAnsi="仿宋" w:eastAsia="仿宋" w:cs="宋体"/>
                <w:bCs/>
                <w:color w:val="000000"/>
                <w:kern w:val="0"/>
                <w:sz w:val="24"/>
                <w:szCs w:val="24"/>
                <w:lang w:bidi="ar"/>
              </w:rPr>
              <w:t>序号</w:t>
            </w:r>
          </w:p>
        </w:tc>
        <w:tc>
          <w:tcPr>
            <w:tcW w:w="0" w:type="auto"/>
            <w:tcBorders>
              <w:top w:val="single" w:color="auto" w:sz="4" w:space="0"/>
              <w:left w:val="nil"/>
              <w:bottom w:val="single" w:color="auto" w:sz="4" w:space="0"/>
              <w:right w:val="single" w:color="auto" w:sz="4" w:space="0"/>
            </w:tcBorders>
            <w:shd w:val="clear" w:color="auto" w:fill="auto"/>
            <w:vAlign w:val="center"/>
          </w:tcPr>
          <w:p w14:paraId="4B33EFA1">
            <w:pPr>
              <w:widowControl/>
              <w:spacing w:line="400" w:lineRule="exact"/>
              <w:jc w:val="center"/>
              <w:textAlignment w:val="center"/>
              <w:rPr>
                <w:rFonts w:ascii="仿宋" w:hAnsi="仿宋" w:eastAsia="仿宋" w:cs="宋体"/>
                <w:bCs/>
                <w:color w:val="000000"/>
                <w:kern w:val="0"/>
                <w:sz w:val="24"/>
                <w:szCs w:val="24"/>
                <w:lang w:bidi="ar"/>
              </w:rPr>
            </w:pPr>
            <w:r>
              <w:rPr>
                <w:rFonts w:hint="eastAsia" w:ascii="仿宋" w:hAnsi="仿宋" w:eastAsia="仿宋" w:cs="宋体"/>
                <w:bCs/>
                <w:color w:val="000000"/>
                <w:kern w:val="0"/>
                <w:sz w:val="24"/>
                <w:szCs w:val="24"/>
                <w:lang w:bidi="ar"/>
              </w:rPr>
              <w:t>货物名称</w:t>
            </w:r>
          </w:p>
        </w:tc>
        <w:tc>
          <w:tcPr>
            <w:tcW w:w="0" w:type="auto"/>
            <w:tcBorders>
              <w:top w:val="single" w:color="auto" w:sz="4" w:space="0"/>
              <w:left w:val="nil"/>
              <w:bottom w:val="single" w:color="auto" w:sz="4" w:space="0"/>
              <w:right w:val="single" w:color="auto" w:sz="4" w:space="0"/>
            </w:tcBorders>
            <w:shd w:val="clear" w:color="auto" w:fill="auto"/>
            <w:vAlign w:val="center"/>
          </w:tcPr>
          <w:p w14:paraId="5E6A8662">
            <w:pPr>
              <w:widowControl/>
              <w:spacing w:line="400" w:lineRule="exact"/>
              <w:jc w:val="center"/>
              <w:textAlignment w:val="center"/>
              <w:rPr>
                <w:rFonts w:ascii="仿宋" w:hAnsi="仿宋" w:eastAsia="仿宋" w:cs="宋体"/>
                <w:bCs/>
                <w:color w:val="000000"/>
                <w:kern w:val="0"/>
                <w:sz w:val="24"/>
                <w:szCs w:val="24"/>
                <w:lang w:bidi="ar"/>
              </w:rPr>
            </w:pPr>
            <w:r>
              <w:rPr>
                <w:rFonts w:hint="eastAsia" w:ascii="仿宋" w:hAnsi="仿宋" w:eastAsia="仿宋" w:cs="宋体"/>
                <w:bCs/>
                <w:color w:val="000000"/>
                <w:kern w:val="0"/>
                <w:sz w:val="24"/>
                <w:szCs w:val="24"/>
                <w:lang w:bidi="ar"/>
              </w:rPr>
              <w:t>技术参数</w:t>
            </w:r>
          </w:p>
        </w:tc>
        <w:tc>
          <w:tcPr>
            <w:tcW w:w="0" w:type="auto"/>
            <w:tcBorders>
              <w:top w:val="single" w:color="auto" w:sz="4" w:space="0"/>
              <w:left w:val="nil"/>
              <w:bottom w:val="single" w:color="auto" w:sz="4" w:space="0"/>
              <w:right w:val="single" w:color="auto" w:sz="4" w:space="0"/>
            </w:tcBorders>
            <w:shd w:val="clear" w:color="auto" w:fill="auto"/>
            <w:vAlign w:val="center"/>
          </w:tcPr>
          <w:p w14:paraId="46D3CE93">
            <w:pPr>
              <w:widowControl/>
              <w:spacing w:line="400" w:lineRule="exact"/>
              <w:jc w:val="center"/>
              <w:textAlignment w:val="center"/>
              <w:rPr>
                <w:rFonts w:ascii="仿宋" w:hAnsi="仿宋" w:eastAsia="仿宋" w:cs="宋体"/>
                <w:bCs/>
                <w:color w:val="000000"/>
                <w:kern w:val="0"/>
                <w:sz w:val="24"/>
                <w:szCs w:val="24"/>
                <w:lang w:bidi="ar"/>
              </w:rPr>
            </w:pPr>
            <w:r>
              <w:rPr>
                <w:rFonts w:hint="eastAsia" w:ascii="仿宋" w:hAnsi="仿宋" w:eastAsia="仿宋" w:cs="宋体"/>
                <w:bCs/>
                <w:color w:val="000000"/>
                <w:kern w:val="0"/>
                <w:sz w:val="24"/>
                <w:szCs w:val="24"/>
                <w:lang w:bidi="ar"/>
              </w:rPr>
              <w:t>单位</w:t>
            </w:r>
          </w:p>
        </w:tc>
        <w:tc>
          <w:tcPr>
            <w:tcW w:w="0" w:type="auto"/>
            <w:tcBorders>
              <w:top w:val="single" w:color="auto" w:sz="4" w:space="0"/>
              <w:left w:val="nil"/>
              <w:bottom w:val="single" w:color="auto" w:sz="4" w:space="0"/>
              <w:right w:val="single" w:color="auto" w:sz="4" w:space="0"/>
            </w:tcBorders>
            <w:shd w:val="clear" w:color="auto" w:fill="auto"/>
            <w:vAlign w:val="center"/>
          </w:tcPr>
          <w:p w14:paraId="4E9EAD1B">
            <w:pPr>
              <w:widowControl/>
              <w:spacing w:line="400" w:lineRule="exact"/>
              <w:jc w:val="center"/>
              <w:textAlignment w:val="center"/>
              <w:rPr>
                <w:rFonts w:ascii="仿宋" w:hAnsi="仿宋" w:eastAsia="仿宋" w:cs="宋体"/>
                <w:bCs/>
                <w:color w:val="000000"/>
                <w:kern w:val="0"/>
                <w:sz w:val="24"/>
                <w:szCs w:val="24"/>
                <w:lang w:bidi="ar"/>
              </w:rPr>
            </w:pPr>
            <w:r>
              <w:rPr>
                <w:rFonts w:hint="eastAsia" w:ascii="仿宋" w:hAnsi="仿宋" w:eastAsia="仿宋" w:cs="宋体"/>
                <w:bCs/>
                <w:color w:val="000000"/>
                <w:kern w:val="0"/>
                <w:sz w:val="24"/>
                <w:szCs w:val="24"/>
                <w:lang w:bidi="ar"/>
              </w:rPr>
              <w:t>数量</w:t>
            </w:r>
          </w:p>
        </w:tc>
      </w:tr>
      <w:tr w14:paraId="2EFC38A9">
        <w:tblPrEx>
          <w:tblCellMar>
            <w:top w:w="0" w:type="dxa"/>
            <w:left w:w="108" w:type="dxa"/>
            <w:bottom w:w="0" w:type="dxa"/>
            <w:right w:w="108" w:type="dxa"/>
          </w:tblCellMar>
        </w:tblPrEx>
        <w:trPr>
          <w:trHeight w:val="400" w:hRule="atLeast"/>
        </w:trPr>
        <w:tc>
          <w:tcPr>
            <w:tcW w:w="458" w:type="dxa"/>
            <w:tcBorders>
              <w:top w:val="nil"/>
              <w:left w:val="single" w:color="auto" w:sz="4" w:space="0"/>
              <w:bottom w:val="single" w:color="auto" w:sz="4" w:space="0"/>
              <w:right w:val="single" w:color="auto" w:sz="4" w:space="0"/>
            </w:tcBorders>
            <w:shd w:val="clear" w:color="auto" w:fill="auto"/>
            <w:vAlign w:val="center"/>
          </w:tcPr>
          <w:p w14:paraId="2E184C91">
            <w:r>
              <w:rPr>
                <w:rFonts w:hint="eastAsia"/>
              </w:rPr>
              <w:t>1</w:t>
            </w:r>
          </w:p>
        </w:tc>
        <w:tc>
          <w:tcPr>
            <w:tcW w:w="821" w:type="dxa"/>
            <w:tcBorders>
              <w:top w:val="nil"/>
              <w:left w:val="nil"/>
              <w:bottom w:val="single" w:color="auto" w:sz="4" w:space="0"/>
              <w:right w:val="single" w:color="auto" w:sz="4" w:space="0"/>
            </w:tcBorders>
            <w:shd w:val="clear" w:color="auto" w:fill="auto"/>
            <w:vAlign w:val="center"/>
          </w:tcPr>
          <w:p w14:paraId="54223C47">
            <w:r>
              <w:rPr>
                <w:rFonts w:hint="eastAsia"/>
              </w:rPr>
              <w:t>室内P1.5全彩显示屏</w:t>
            </w:r>
          </w:p>
        </w:tc>
        <w:tc>
          <w:tcPr>
            <w:tcW w:w="6091" w:type="dxa"/>
            <w:tcBorders>
              <w:top w:val="nil"/>
              <w:left w:val="nil"/>
              <w:bottom w:val="single" w:color="auto" w:sz="4" w:space="0"/>
              <w:right w:val="single" w:color="auto" w:sz="4" w:space="0"/>
            </w:tcBorders>
            <w:shd w:val="clear" w:color="auto" w:fill="auto"/>
            <w:vAlign w:val="center"/>
          </w:tcPr>
          <w:p w14:paraId="4A520225">
            <w:r>
              <w:rPr>
                <w:rFonts w:hint="eastAsia"/>
              </w:rPr>
              <w:t>21楼一号会议室屏尺寸不小于3.2m*1.92m</w:t>
            </w:r>
            <w:r>
              <w:rPr>
                <w:rFonts w:hint="eastAsia"/>
              </w:rPr>
              <w:br w:type="textWrapping"/>
            </w:r>
            <w:r>
              <w:rPr>
                <w:rFonts w:hint="eastAsia"/>
              </w:rPr>
              <w:t>1、采用表贴三合一灯珠，物理点间距≤1.538mm；</w:t>
            </w:r>
            <w:r>
              <w:rPr>
                <w:rFonts w:hint="eastAsia"/>
              </w:rPr>
              <w:br w:type="textWrapping"/>
            </w:r>
            <w:r>
              <w:rPr>
                <w:rFonts w:hint="eastAsia"/>
              </w:rPr>
              <w:t>2、显示面积不小于6.15㎡，其中，长3200mm，高1920mm，长度偏差不超过±2%，高度偏差不超过±2%；</w:t>
            </w:r>
            <w:r>
              <w:rPr>
                <w:rFonts w:hint="eastAsia"/>
              </w:rPr>
              <w:br w:type="textWrapping"/>
            </w:r>
            <w:r>
              <w:rPr>
                <w:rFonts w:hint="eastAsia"/>
              </w:rPr>
              <w:t>3、箱体采用压铸铝合金或镁合金材质，材质的力学性质性能满足国家标准GB/T3880.2-2024中牌号7075要求，符合GB/T15115-2024《压铸铝合金》标准，抗拉强度不小于200Mpa，屈服强度不小于150Mpa，硬度不小于70HBS。单元纵向、横向拉伸承载力≥2t，四侧面平面度公差≤0.02mm，四侧面垂直度公差≤0.02mm。材料通过环保测试。采用全封闭底壳，为一次性整体压铸成型，精度高，平整度好，全金属自然散热结构，无风扇，防尘和静音设计，采用拟建筑力学底壳设计，结实坚固，产品平整度≤0.1mm；</w:t>
            </w:r>
            <w:r>
              <w:rPr>
                <w:rFonts w:hint="eastAsia"/>
              </w:rPr>
              <w:br w:type="textWrapping"/>
            </w:r>
            <w:r>
              <w:rPr>
                <w:rFonts w:hint="eastAsia"/>
              </w:rPr>
              <w:t>4、★产品最大刷新率≥3840Hz；白平衡亮度：≥600cd/㎡；对比度≥4000:1亮度均匀性≥99.5%，色度均匀性≤±0.001Cx、Cy之内；</w:t>
            </w:r>
            <w:r>
              <w:rPr>
                <w:rFonts w:hint="eastAsia"/>
              </w:rPr>
              <w:br w:type="textWrapping"/>
            </w:r>
            <w:r>
              <w:rPr>
                <w:rFonts w:hint="eastAsia"/>
              </w:rPr>
              <w:t>5、连续工作时间：7×24小时不间断，LED平均无故障工作时间MTBF≥15万小时，故障平均修复时间MTTR不超过3分钟，提供表面具有CMA、ilac-MRA、CNAS标识的检测报告为证；</w:t>
            </w:r>
            <w:r>
              <w:rPr>
                <w:rFonts w:hint="eastAsia"/>
              </w:rPr>
              <w:br w:type="textWrapping"/>
            </w:r>
            <w:r>
              <w:rPr>
                <w:rFonts w:hint="eastAsia"/>
              </w:rPr>
              <w:t>6、盐雾要求：盐雾试验的保护评级（Rp）和外观评级（Ra）均为10级；</w:t>
            </w:r>
            <w:r>
              <w:rPr>
                <w:rFonts w:hint="eastAsia"/>
              </w:rPr>
              <w:br w:type="textWrapping"/>
            </w:r>
            <w:r>
              <w:rPr>
                <w:rFonts w:hint="eastAsia"/>
              </w:rPr>
              <w:t>7、★LED显示单元抗震等级能够承受10级震动烈度，提供表面具有CMA、ilac-MRA、CNAS标识的检测报告为证；</w:t>
            </w:r>
            <w:r>
              <w:rPr>
                <w:rFonts w:hint="eastAsia"/>
              </w:rPr>
              <w:br w:type="textWrapping"/>
            </w:r>
            <w:r>
              <w:rPr>
                <w:rFonts w:hint="eastAsia"/>
              </w:rPr>
              <w:t>8、整屏失控点数：&lt;=0.000001（验收时失控点0），连续失控点为0，盲点率≤0.000001；无常亮点；</w:t>
            </w:r>
            <w:r>
              <w:rPr>
                <w:rFonts w:hint="eastAsia"/>
              </w:rPr>
              <w:br w:type="textWrapping"/>
            </w:r>
            <w:r>
              <w:rPr>
                <w:rFonts w:hint="eastAsia"/>
              </w:rPr>
              <w:t>9、产品具有防潮、防尘、防火、防雷、防虫、防高温、防辐射、防腐蚀、防燃烧、防静电、防碰撞、防摔、防盐雾、抗UV、防电磁干扰等功能，同时具有过流、过压、欠压、短路、断电、漏电保护，分步上电等保护措施。系统具有烟雾、温升和故障报警功能，具有动态扫描保护功能；</w:t>
            </w:r>
            <w:r>
              <w:rPr>
                <w:rFonts w:hint="eastAsia"/>
              </w:rPr>
              <w:br w:type="textWrapping"/>
            </w:r>
            <w:r>
              <w:rPr>
                <w:rFonts w:hint="eastAsia"/>
              </w:rPr>
              <w:t>10、为了保证产品使用稳定性，LED显示屏具备动态扫描方式驱动电路板保护电路；</w:t>
            </w:r>
            <w:r>
              <w:rPr>
                <w:rFonts w:hint="eastAsia"/>
              </w:rPr>
              <w:br w:type="textWrapping"/>
            </w:r>
            <w:r>
              <w:rPr>
                <w:rFonts w:hint="eastAsia"/>
              </w:rPr>
              <w:t>11、具备去消隐功能，可防止因单颗LED反向漏电流异常引起的串亮现象,满足去消隐、无残影；</w:t>
            </w:r>
            <w:r>
              <w:rPr>
                <w:rFonts w:hint="eastAsia"/>
              </w:rPr>
              <w:br w:type="textWrapping"/>
            </w:r>
            <w:r>
              <w:rPr>
                <w:rFonts w:hint="eastAsia"/>
              </w:rPr>
              <w:t>12、照度=10Lux/5600K条件下，显示屏屏幕表面光反射率（单位面积反射亮度）＜3.0cd/m²；</w:t>
            </w:r>
            <w:r>
              <w:rPr>
                <w:rFonts w:hint="eastAsia"/>
              </w:rPr>
              <w:br w:type="textWrapping"/>
            </w:r>
            <w:r>
              <w:rPr>
                <w:rFonts w:hint="eastAsia"/>
              </w:rPr>
              <w:t>13、★LED显示单元对地漏电流≤0.1mA(交流有效值），提供表面具有CMA、ilac-MRA、CNAS标识的检测报告为证；</w:t>
            </w:r>
            <w:r>
              <w:rPr>
                <w:rFonts w:hint="eastAsia"/>
              </w:rPr>
              <w:br w:type="textWrapping"/>
            </w:r>
            <w:r>
              <w:rPr>
                <w:rFonts w:hint="eastAsia"/>
              </w:rPr>
              <w:t>14、★显示单元的色彩还原准确性指标ΔE≤0.9，提供表面具有CMA、ilac-MRA、CNAS标识的检测报告为证；</w:t>
            </w:r>
            <w:r>
              <w:rPr>
                <w:rFonts w:hint="eastAsia"/>
              </w:rPr>
              <w:br w:type="textWrapping"/>
            </w:r>
            <w:r>
              <w:rPr>
                <w:rFonts w:hint="eastAsia"/>
              </w:rPr>
              <w:t>15、★LED显示屏中心蓝光辐射能量值对人眼视网膜无伤害，LED显示屏蓝光辐亮度≤0.5W.m-2.sr-1,符合肉眼观看标准，提供表面具有CMA、ilac-MRA、CNAS标识的检测报告为证。</w:t>
            </w:r>
            <w:r>
              <w:rPr>
                <w:rFonts w:hint="eastAsia"/>
              </w:rPr>
              <w:br w:type="textWrapping"/>
            </w:r>
            <w:r>
              <w:rPr>
                <w:rFonts w:hint="eastAsia"/>
              </w:rPr>
              <w:t>厂家资质：</w:t>
            </w:r>
            <w:r>
              <w:rPr>
                <w:rFonts w:hint="eastAsia"/>
              </w:rPr>
              <w:br w:type="textWrapping"/>
            </w:r>
            <w:r>
              <w:rPr>
                <w:rFonts w:hint="eastAsia"/>
              </w:rPr>
              <w:t>★LED显示屏制造商须通过ISO9001质量体系认证证书、ISO14001环境管理体系认证证书、ISOISO45001职业健康安全管理体系证书，投标人须提供原厂商证书复印件加盖原厂公章供查询。</w:t>
            </w:r>
          </w:p>
        </w:tc>
        <w:tc>
          <w:tcPr>
            <w:tcW w:w="457" w:type="dxa"/>
            <w:tcBorders>
              <w:top w:val="nil"/>
              <w:left w:val="nil"/>
              <w:bottom w:val="single" w:color="auto" w:sz="4" w:space="0"/>
              <w:right w:val="single" w:color="auto" w:sz="4" w:space="0"/>
            </w:tcBorders>
            <w:shd w:val="clear" w:color="auto" w:fill="auto"/>
            <w:vAlign w:val="center"/>
          </w:tcPr>
          <w:p w14:paraId="28D60210">
            <w:r>
              <w:rPr>
                <w:rFonts w:hint="eastAsia"/>
              </w:rPr>
              <w:t>平方</w:t>
            </w:r>
          </w:p>
        </w:tc>
        <w:tc>
          <w:tcPr>
            <w:tcW w:w="695" w:type="dxa"/>
            <w:tcBorders>
              <w:top w:val="nil"/>
              <w:left w:val="nil"/>
              <w:bottom w:val="single" w:color="auto" w:sz="4" w:space="0"/>
              <w:right w:val="single" w:color="auto" w:sz="4" w:space="0"/>
            </w:tcBorders>
            <w:shd w:val="clear" w:color="auto" w:fill="auto"/>
            <w:vAlign w:val="center"/>
          </w:tcPr>
          <w:p w14:paraId="5AE93A43">
            <w:r>
              <w:rPr>
                <w:rFonts w:hint="eastAsia"/>
              </w:rPr>
              <w:t>6.15</w:t>
            </w:r>
          </w:p>
        </w:tc>
      </w:tr>
      <w:tr w14:paraId="02DFECC6">
        <w:tblPrEx>
          <w:tblCellMar>
            <w:top w:w="0" w:type="dxa"/>
            <w:left w:w="108" w:type="dxa"/>
            <w:bottom w:w="0" w:type="dxa"/>
            <w:right w:w="108" w:type="dxa"/>
          </w:tblCellMar>
        </w:tblPrEx>
        <w:trPr>
          <w:trHeight w:val="400" w:hRule="atLeast"/>
        </w:trPr>
        <w:tc>
          <w:tcPr>
            <w:tcW w:w="458" w:type="dxa"/>
            <w:tcBorders>
              <w:top w:val="nil"/>
              <w:left w:val="single" w:color="auto" w:sz="4" w:space="0"/>
              <w:bottom w:val="single" w:color="auto" w:sz="4" w:space="0"/>
              <w:right w:val="single" w:color="auto" w:sz="4" w:space="0"/>
            </w:tcBorders>
            <w:shd w:val="clear" w:color="auto" w:fill="auto"/>
            <w:vAlign w:val="center"/>
          </w:tcPr>
          <w:p w14:paraId="03A887A6">
            <w:pPr>
              <w:widowControl/>
              <w:jc w:val="center"/>
              <w:textAlignment w:val="center"/>
            </w:pPr>
            <w:r>
              <w:rPr>
                <w:rFonts w:hint="eastAsia" w:ascii="宋体" w:hAnsi="宋体" w:cs="宋体"/>
                <w:color w:val="000000"/>
                <w:szCs w:val="21"/>
              </w:rPr>
              <w:t>2</w:t>
            </w:r>
          </w:p>
        </w:tc>
        <w:tc>
          <w:tcPr>
            <w:tcW w:w="821" w:type="dxa"/>
            <w:tcBorders>
              <w:top w:val="nil"/>
              <w:left w:val="nil"/>
              <w:bottom w:val="single" w:color="auto" w:sz="4" w:space="0"/>
              <w:right w:val="single" w:color="auto" w:sz="4" w:space="0"/>
            </w:tcBorders>
            <w:shd w:val="clear" w:color="auto" w:fill="auto"/>
            <w:vAlign w:val="center"/>
          </w:tcPr>
          <w:p w14:paraId="7E0A5822">
            <w:r>
              <w:rPr>
                <w:rFonts w:hint="eastAsia"/>
              </w:rPr>
              <w:t>发送卡</w:t>
            </w:r>
          </w:p>
        </w:tc>
        <w:tc>
          <w:tcPr>
            <w:tcW w:w="6091" w:type="dxa"/>
            <w:tcBorders>
              <w:top w:val="nil"/>
              <w:left w:val="nil"/>
              <w:bottom w:val="single" w:color="auto" w:sz="4" w:space="0"/>
              <w:right w:val="single" w:color="auto" w:sz="4" w:space="0"/>
            </w:tcBorders>
            <w:shd w:val="clear" w:color="auto" w:fill="auto"/>
            <w:vAlign w:val="center"/>
          </w:tcPr>
          <w:p w14:paraId="519EBF95">
            <w:r>
              <w:rPr>
                <w:rFonts w:hint="eastAsia"/>
              </w:rPr>
              <w:t>1、不少于1路HDMI及1路DVI输入及1路HDMI信号LOOP输出；</w:t>
            </w:r>
            <w:r>
              <w:rPr>
                <w:rFonts w:hint="eastAsia"/>
              </w:rPr>
              <w:br w:type="textWrapping"/>
            </w:r>
            <w:r>
              <w:rPr>
                <w:rFonts w:hint="eastAsia"/>
              </w:rPr>
              <w:t>2、支持千兆网口输出≥4路或光纤输出≥4路;</w:t>
            </w:r>
            <w:r>
              <w:rPr>
                <w:rFonts w:hint="eastAsia"/>
              </w:rPr>
              <w:br w:type="textWrapping"/>
            </w:r>
            <w:r>
              <w:rPr>
                <w:rFonts w:hint="eastAsia"/>
              </w:rPr>
              <w:t>3、支持亮度和色温调节；</w:t>
            </w:r>
            <w:r>
              <w:rPr>
                <w:rFonts w:hint="eastAsia"/>
              </w:rPr>
              <w:br w:type="textWrapping"/>
            </w:r>
            <w:r>
              <w:rPr>
                <w:rFonts w:hint="eastAsia"/>
              </w:rPr>
              <w:t>4、支持最大带载分辨率：1920×1200，支持分辨率任意设置；</w:t>
            </w:r>
            <w:r>
              <w:rPr>
                <w:rFonts w:hint="eastAsia"/>
              </w:rPr>
              <w:br w:type="textWrapping"/>
            </w:r>
            <w:r>
              <w:rPr>
                <w:rFonts w:hint="eastAsia"/>
              </w:rPr>
              <w:t>5、单卡最大带载面积：230万点，最宽可达4096，最高可达2560点；</w:t>
            </w:r>
            <w:r>
              <w:rPr>
                <w:rFonts w:hint="eastAsia"/>
              </w:rPr>
              <w:br w:type="textWrapping"/>
            </w:r>
            <w:r>
              <w:rPr>
                <w:rFonts w:hint="eastAsia"/>
              </w:rPr>
              <w:t>6、支持AC100～240V超宽工作电压，更强适应性。</w:t>
            </w:r>
          </w:p>
        </w:tc>
        <w:tc>
          <w:tcPr>
            <w:tcW w:w="457" w:type="dxa"/>
            <w:tcBorders>
              <w:top w:val="nil"/>
              <w:left w:val="nil"/>
              <w:bottom w:val="single" w:color="auto" w:sz="4" w:space="0"/>
              <w:right w:val="single" w:color="auto" w:sz="4" w:space="0"/>
            </w:tcBorders>
            <w:shd w:val="clear" w:color="auto" w:fill="auto"/>
            <w:vAlign w:val="center"/>
          </w:tcPr>
          <w:p w14:paraId="3DCADDCF">
            <w:r>
              <w:rPr>
                <w:rFonts w:hint="eastAsia"/>
              </w:rPr>
              <w:t>台</w:t>
            </w:r>
          </w:p>
        </w:tc>
        <w:tc>
          <w:tcPr>
            <w:tcW w:w="695" w:type="dxa"/>
            <w:tcBorders>
              <w:top w:val="nil"/>
              <w:left w:val="nil"/>
              <w:bottom w:val="single" w:color="auto" w:sz="4" w:space="0"/>
              <w:right w:val="single" w:color="auto" w:sz="4" w:space="0"/>
            </w:tcBorders>
            <w:shd w:val="clear" w:color="auto" w:fill="auto"/>
            <w:vAlign w:val="center"/>
          </w:tcPr>
          <w:p w14:paraId="4906DB62">
            <w:r>
              <w:rPr>
                <w:rFonts w:hint="eastAsia"/>
              </w:rPr>
              <w:t>4</w:t>
            </w:r>
          </w:p>
        </w:tc>
      </w:tr>
      <w:tr w14:paraId="42327BE5">
        <w:tblPrEx>
          <w:tblCellMar>
            <w:top w:w="0" w:type="dxa"/>
            <w:left w:w="108" w:type="dxa"/>
            <w:bottom w:w="0" w:type="dxa"/>
            <w:right w:w="108" w:type="dxa"/>
          </w:tblCellMar>
        </w:tblPrEx>
        <w:trPr>
          <w:trHeight w:val="400" w:hRule="atLeast"/>
        </w:trPr>
        <w:tc>
          <w:tcPr>
            <w:tcW w:w="458" w:type="dxa"/>
            <w:tcBorders>
              <w:top w:val="nil"/>
              <w:left w:val="single" w:color="auto" w:sz="4" w:space="0"/>
              <w:bottom w:val="single" w:color="auto" w:sz="4" w:space="0"/>
              <w:right w:val="single" w:color="auto" w:sz="4" w:space="0"/>
            </w:tcBorders>
            <w:shd w:val="clear" w:color="auto" w:fill="auto"/>
            <w:vAlign w:val="center"/>
          </w:tcPr>
          <w:p w14:paraId="582E1530">
            <w:pPr>
              <w:widowControl/>
              <w:jc w:val="center"/>
              <w:textAlignment w:val="center"/>
            </w:pPr>
            <w:r>
              <w:rPr>
                <w:rFonts w:hint="eastAsia" w:ascii="宋体" w:hAnsi="宋体" w:cs="宋体"/>
                <w:color w:val="000000"/>
                <w:szCs w:val="21"/>
              </w:rPr>
              <w:t>3</w:t>
            </w:r>
          </w:p>
        </w:tc>
        <w:tc>
          <w:tcPr>
            <w:tcW w:w="821" w:type="dxa"/>
            <w:tcBorders>
              <w:top w:val="nil"/>
              <w:left w:val="nil"/>
              <w:bottom w:val="single" w:color="auto" w:sz="4" w:space="0"/>
              <w:right w:val="single" w:color="auto" w:sz="4" w:space="0"/>
            </w:tcBorders>
            <w:shd w:val="clear" w:color="auto" w:fill="auto"/>
            <w:vAlign w:val="center"/>
          </w:tcPr>
          <w:p w14:paraId="00222400">
            <w:r>
              <w:rPr>
                <w:rFonts w:hint="eastAsia"/>
              </w:rPr>
              <w:t>播放</w:t>
            </w:r>
          </w:p>
          <w:p w14:paraId="63F1E25F">
            <w:r>
              <w:rPr>
                <w:rFonts w:hint="eastAsia"/>
              </w:rPr>
              <w:t>软件</w:t>
            </w:r>
          </w:p>
        </w:tc>
        <w:tc>
          <w:tcPr>
            <w:tcW w:w="6091" w:type="dxa"/>
            <w:tcBorders>
              <w:top w:val="nil"/>
              <w:left w:val="nil"/>
              <w:bottom w:val="single" w:color="auto" w:sz="4" w:space="0"/>
              <w:right w:val="single" w:color="auto" w:sz="4" w:space="0"/>
            </w:tcBorders>
            <w:shd w:val="clear" w:color="auto" w:fill="auto"/>
            <w:vAlign w:val="center"/>
          </w:tcPr>
          <w:p w14:paraId="3A5A6587">
            <w:r>
              <w:rPr>
                <w:rFonts w:hint="eastAsia"/>
              </w:rPr>
              <w:t>1、★支持iOS、安卓、鸿蒙、Windows、MacOS、麒麟等操作系统；</w:t>
            </w:r>
            <w:r>
              <w:rPr>
                <w:rFonts w:hint="eastAsia"/>
              </w:rPr>
              <w:br w:type="textWrapping"/>
            </w:r>
            <w:r>
              <w:rPr>
                <w:rFonts w:hint="eastAsia"/>
              </w:rPr>
              <w:t>2、兼容IE、Webkit、Blink、Gecko等浏览器内核，支持电脑客户端以及手机、平板、PC等多类型移动终端登录；</w:t>
            </w:r>
            <w:r>
              <w:rPr>
                <w:rFonts w:hint="eastAsia"/>
              </w:rPr>
              <w:br w:type="textWrapping"/>
            </w:r>
            <w:r>
              <w:rPr>
                <w:rFonts w:hint="eastAsia"/>
              </w:rPr>
              <w:t>3、支持信号源裁剪，裁剪后生成子信号源，可独立使用，不影响原始信号源画面；</w:t>
            </w:r>
            <w:r>
              <w:rPr>
                <w:rFonts w:hint="eastAsia"/>
              </w:rPr>
              <w:br w:type="textWrapping"/>
            </w:r>
            <w:r>
              <w:rPr>
                <w:rFonts w:hint="eastAsia"/>
              </w:rPr>
              <w:t>4、支持上墙前进行电视墙布局、业务创建、效果预览，编辑过程中对现有大屏业务无影响，确认无误后可点击推送上墙，大屏业务布局无缝切换；</w:t>
            </w:r>
            <w:r>
              <w:rPr>
                <w:rFonts w:hint="eastAsia"/>
              </w:rPr>
              <w:br w:type="textWrapping"/>
            </w:r>
            <w:r>
              <w:rPr>
                <w:rFonts w:hint="eastAsia"/>
              </w:rPr>
              <w:t>5、支持设备实时监测功能，可监测线路链路、设备在线状态、接口状态、端口流量等具体的工作状态，灵活查看不同设备的属性参数；</w:t>
            </w:r>
            <w:r>
              <w:rPr>
                <w:rFonts w:hint="eastAsia"/>
              </w:rPr>
              <w:br w:type="textWrapping"/>
            </w:r>
            <w:r>
              <w:rPr>
                <w:rFonts w:hint="eastAsia"/>
              </w:rPr>
              <w:t>6、支持通过移动客户端智控平台控制电视墙业务，包括一键开窗、分屏、漫游、缩放、场景切换、场景保存、对大屏进行开关机、支持控制多个电视墙；</w:t>
            </w:r>
            <w:r>
              <w:rPr>
                <w:rFonts w:hint="eastAsia"/>
              </w:rPr>
              <w:br w:type="textWrapping"/>
            </w:r>
            <w:r>
              <w:rPr>
                <w:rFonts w:hint="eastAsia"/>
              </w:rPr>
              <w:t>7、可将场景关联中控，使场景与灯光、空调、投影等设备开关量模式联动；</w:t>
            </w:r>
            <w:r>
              <w:rPr>
                <w:rFonts w:hint="eastAsia"/>
              </w:rPr>
              <w:br w:type="textWrapping"/>
            </w:r>
            <w:r>
              <w:rPr>
                <w:rFonts w:hint="eastAsia"/>
              </w:rPr>
              <w:t>8、支持“极简模式”和完整模式切换，可根据实际业务需求选择不同模式。普通操作员使用极简模式，只能操作某一台设备所控制的大屏业务；管理员可以用完整模式，能操作系统内添加的所有设备的业务。</w:t>
            </w:r>
          </w:p>
        </w:tc>
        <w:tc>
          <w:tcPr>
            <w:tcW w:w="457" w:type="dxa"/>
            <w:tcBorders>
              <w:top w:val="nil"/>
              <w:left w:val="nil"/>
              <w:bottom w:val="single" w:color="auto" w:sz="4" w:space="0"/>
              <w:right w:val="single" w:color="auto" w:sz="4" w:space="0"/>
            </w:tcBorders>
            <w:shd w:val="clear" w:color="auto" w:fill="auto"/>
            <w:vAlign w:val="center"/>
          </w:tcPr>
          <w:p w14:paraId="2ABF135A">
            <w:r>
              <w:rPr>
                <w:rFonts w:hint="eastAsia"/>
              </w:rPr>
              <w:t>套</w:t>
            </w:r>
          </w:p>
        </w:tc>
        <w:tc>
          <w:tcPr>
            <w:tcW w:w="695" w:type="dxa"/>
            <w:tcBorders>
              <w:top w:val="nil"/>
              <w:left w:val="nil"/>
              <w:bottom w:val="single" w:color="auto" w:sz="4" w:space="0"/>
              <w:right w:val="single" w:color="auto" w:sz="4" w:space="0"/>
            </w:tcBorders>
            <w:shd w:val="clear" w:color="auto" w:fill="auto"/>
            <w:vAlign w:val="center"/>
          </w:tcPr>
          <w:p w14:paraId="18B42DC5">
            <w:r>
              <w:rPr>
                <w:rFonts w:hint="eastAsia"/>
              </w:rPr>
              <w:t>1</w:t>
            </w:r>
          </w:p>
        </w:tc>
      </w:tr>
      <w:tr w14:paraId="2F0BE18B">
        <w:tblPrEx>
          <w:tblCellMar>
            <w:top w:w="0" w:type="dxa"/>
            <w:left w:w="108" w:type="dxa"/>
            <w:bottom w:w="0" w:type="dxa"/>
            <w:right w:w="108" w:type="dxa"/>
          </w:tblCellMar>
        </w:tblPrEx>
        <w:trPr>
          <w:trHeight w:val="400" w:hRule="atLeast"/>
        </w:trPr>
        <w:tc>
          <w:tcPr>
            <w:tcW w:w="458" w:type="dxa"/>
            <w:tcBorders>
              <w:top w:val="nil"/>
              <w:left w:val="single" w:color="auto" w:sz="4" w:space="0"/>
              <w:bottom w:val="single" w:color="auto" w:sz="4" w:space="0"/>
              <w:right w:val="single" w:color="auto" w:sz="4" w:space="0"/>
            </w:tcBorders>
            <w:shd w:val="clear" w:color="auto" w:fill="auto"/>
            <w:vAlign w:val="center"/>
          </w:tcPr>
          <w:p w14:paraId="2726E015">
            <w:pPr>
              <w:widowControl/>
              <w:jc w:val="center"/>
              <w:textAlignment w:val="center"/>
            </w:pPr>
            <w:r>
              <w:rPr>
                <w:rFonts w:hint="eastAsia" w:ascii="宋体" w:hAnsi="宋体" w:cs="宋体"/>
                <w:color w:val="000000"/>
                <w:szCs w:val="21"/>
              </w:rPr>
              <w:t>4</w:t>
            </w:r>
          </w:p>
        </w:tc>
        <w:tc>
          <w:tcPr>
            <w:tcW w:w="821" w:type="dxa"/>
            <w:tcBorders>
              <w:top w:val="nil"/>
              <w:left w:val="nil"/>
              <w:bottom w:val="single" w:color="auto" w:sz="4" w:space="0"/>
              <w:right w:val="single" w:color="auto" w:sz="4" w:space="0"/>
            </w:tcBorders>
            <w:shd w:val="clear" w:color="auto" w:fill="auto"/>
            <w:vAlign w:val="center"/>
          </w:tcPr>
          <w:p w14:paraId="318993DD">
            <w:r>
              <w:rPr>
                <w:rFonts w:hint="eastAsia"/>
              </w:rPr>
              <w:t>屏体</w:t>
            </w:r>
          </w:p>
          <w:p w14:paraId="407B0FA1">
            <w:r>
              <w:rPr>
                <w:rFonts w:hint="eastAsia"/>
              </w:rPr>
              <w:t>结构</w:t>
            </w:r>
          </w:p>
        </w:tc>
        <w:tc>
          <w:tcPr>
            <w:tcW w:w="6091" w:type="dxa"/>
            <w:tcBorders>
              <w:top w:val="nil"/>
              <w:left w:val="nil"/>
              <w:bottom w:val="single" w:color="auto" w:sz="4" w:space="0"/>
              <w:right w:val="single" w:color="auto" w:sz="4" w:space="0"/>
            </w:tcBorders>
            <w:shd w:val="clear" w:color="auto" w:fill="auto"/>
            <w:vAlign w:val="center"/>
          </w:tcPr>
          <w:p w14:paraId="3AB44B8D">
            <w:r>
              <w:rPr>
                <w:rFonts w:hint="eastAsia"/>
              </w:rPr>
              <w:t>1、包边采用不锈钢材质装饰；</w:t>
            </w:r>
            <w:r>
              <w:rPr>
                <w:rFonts w:hint="eastAsia"/>
              </w:rPr>
              <w:br w:type="textWrapping"/>
            </w:r>
            <w:r>
              <w:rPr>
                <w:rFonts w:hint="eastAsia"/>
              </w:rPr>
              <w:t>2、内部框架采用镀锌钢管焊接，材料厚度≥2mm；</w:t>
            </w:r>
            <w:r>
              <w:rPr>
                <w:rFonts w:hint="eastAsia"/>
              </w:rPr>
              <w:br w:type="textWrapping"/>
            </w:r>
            <w:r>
              <w:rPr>
                <w:rFonts w:hint="eastAsia"/>
              </w:rPr>
              <w:t>3、钢管焊点喷涂防锈油漆防止生锈；</w:t>
            </w:r>
            <w:r>
              <w:rPr>
                <w:rFonts w:hint="eastAsia"/>
              </w:rPr>
              <w:br w:type="textWrapping"/>
            </w:r>
            <w:r>
              <w:rPr>
                <w:rFonts w:hint="eastAsia"/>
              </w:rPr>
              <w:t>4、安装方式：壁挂式安装。</w:t>
            </w:r>
          </w:p>
        </w:tc>
        <w:tc>
          <w:tcPr>
            <w:tcW w:w="457" w:type="dxa"/>
            <w:tcBorders>
              <w:top w:val="nil"/>
              <w:left w:val="nil"/>
              <w:bottom w:val="single" w:color="auto" w:sz="4" w:space="0"/>
              <w:right w:val="single" w:color="auto" w:sz="4" w:space="0"/>
            </w:tcBorders>
            <w:shd w:val="clear" w:color="auto" w:fill="auto"/>
            <w:vAlign w:val="center"/>
          </w:tcPr>
          <w:p w14:paraId="129196E5">
            <w:r>
              <w:rPr>
                <w:rFonts w:hint="eastAsia"/>
              </w:rPr>
              <w:t>平方</w:t>
            </w:r>
          </w:p>
        </w:tc>
        <w:tc>
          <w:tcPr>
            <w:tcW w:w="695" w:type="dxa"/>
            <w:tcBorders>
              <w:top w:val="nil"/>
              <w:left w:val="nil"/>
              <w:bottom w:val="single" w:color="auto" w:sz="4" w:space="0"/>
              <w:right w:val="single" w:color="auto" w:sz="4" w:space="0"/>
            </w:tcBorders>
            <w:shd w:val="clear" w:color="auto" w:fill="auto"/>
            <w:vAlign w:val="center"/>
          </w:tcPr>
          <w:p w14:paraId="496B3A3E">
            <w:r>
              <w:rPr>
                <w:rFonts w:hint="eastAsia"/>
              </w:rPr>
              <w:t>6.15</w:t>
            </w:r>
          </w:p>
        </w:tc>
      </w:tr>
      <w:tr w14:paraId="0B6A20E8">
        <w:tblPrEx>
          <w:tblCellMar>
            <w:top w:w="0" w:type="dxa"/>
            <w:left w:w="108" w:type="dxa"/>
            <w:bottom w:w="0" w:type="dxa"/>
            <w:right w:w="108" w:type="dxa"/>
          </w:tblCellMar>
        </w:tblPrEx>
        <w:trPr>
          <w:trHeight w:val="400" w:hRule="atLeast"/>
        </w:trPr>
        <w:tc>
          <w:tcPr>
            <w:tcW w:w="458" w:type="dxa"/>
            <w:tcBorders>
              <w:top w:val="nil"/>
              <w:left w:val="single" w:color="auto" w:sz="4" w:space="0"/>
              <w:bottom w:val="single" w:color="auto" w:sz="4" w:space="0"/>
              <w:right w:val="single" w:color="auto" w:sz="4" w:space="0"/>
            </w:tcBorders>
            <w:shd w:val="clear" w:color="auto" w:fill="auto"/>
            <w:vAlign w:val="center"/>
          </w:tcPr>
          <w:p w14:paraId="448EED59">
            <w:pPr>
              <w:widowControl/>
              <w:jc w:val="center"/>
              <w:textAlignment w:val="center"/>
            </w:pPr>
            <w:r>
              <w:rPr>
                <w:rFonts w:hint="eastAsia" w:ascii="宋体" w:hAnsi="宋体" w:cs="宋体"/>
                <w:color w:val="000000"/>
                <w:szCs w:val="21"/>
              </w:rPr>
              <w:t>5</w:t>
            </w:r>
          </w:p>
        </w:tc>
        <w:tc>
          <w:tcPr>
            <w:tcW w:w="821" w:type="dxa"/>
            <w:tcBorders>
              <w:top w:val="nil"/>
              <w:left w:val="nil"/>
              <w:bottom w:val="single" w:color="auto" w:sz="4" w:space="0"/>
              <w:right w:val="single" w:color="auto" w:sz="4" w:space="0"/>
            </w:tcBorders>
            <w:shd w:val="clear" w:color="auto" w:fill="auto"/>
            <w:vAlign w:val="center"/>
          </w:tcPr>
          <w:p w14:paraId="1673F94C">
            <w:r>
              <w:rPr>
                <w:rFonts w:hint="eastAsia"/>
              </w:rPr>
              <w:t>智能配电箱</w:t>
            </w:r>
          </w:p>
        </w:tc>
        <w:tc>
          <w:tcPr>
            <w:tcW w:w="6091" w:type="dxa"/>
            <w:tcBorders>
              <w:top w:val="nil"/>
              <w:left w:val="nil"/>
              <w:bottom w:val="single" w:color="auto" w:sz="4" w:space="0"/>
              <w:right w:val="single" w:color="auto" w:sz="4" w:space="0"/>
            </w:tcBorders>
            <w:shd w:val="clear" w:color="auto" w:fill="auto"/>
            <w:vAlign w:val="center"/>
          </w:tcPr>
          <w:p w14:paraId="4BCC09A3">
            <w:r>
              <w:rPr>
                <w:rFonts w:hint="eastAsia"/>
              </w:rPr>
              <w:t>1、功率容量：10KW；</w:t>
            </w:r>
            <w:r>
              <w:rPr>
                <w:rFonts w:hint="eastAsia"/>
              </w:rPr>
              <w:br w:type="textWrapping"/>
            </w:r>
            <w:r>
              <w:rPr>
                <w:rFonts w:hint="eastAsia"/>
              </w:rPr>
              <w:t>2、输入接线方式：3相5线（380V），输入电压：220/380；</w:t>
            </w:r>
            <w:r>
              <w:rPr>
                <w:rFonts w:hint="eastAsia"/>
              </w:rPr>
              <w:br w:type="textWrapping"/>
            </w:r>
            <w:r>
              <w:rPr>
                <w:rFonts w:hint="eastAsia"/>
              </w:rPr>
              <w:t>3、输出电压：交流220V，输出电流（A）：20，输出分路：6路单相交流220V；</w:t>
            </w:r>
            <w:r>
              <w:rPr>
                <w:rFonts w:hint="eastAsia"/>
              </w:rPr>
              <w:br w:type="textWrapping"/>
            </w:r>
            <w:r>
              <w:rPr>
                <w:rFonts w:hint="eastAsia"/>
              </w:rPr>
              <w:t>4、分路开关容量（A）：20A，单相；</w:t>
            </w:r>
            <w:r>
              <w:rPr>
                <w:rFonts w:hint="eastAsia"/>
              </w:rPr>
              <w:br w:type="textWrapping"/>
            </w:r>
            <w:r>
              <w:rPr>
                <w:rFonts w:hint="eastAsia"/>
              </w:rPr>
              <w:t>5、拥有LED显示屏全智能远程控制系统，可实现对LED智能配电箱的远程设定、控制；</w:t>
            </w:r>
            <w:r>
              <w:rPr>
                <w:rFonts w:hint="eastAsia"/>
              </w:rPr>
              <w:br w:type="textWrapping"/>
            </w:r>
            <w:r>
              <w:rPr>
                <w:rFonts w:hint="eastAsia"/>
              </w:rPr>
              <w:t>6、★具有手动一键启动/停止和单点点动控制、远程一键启动/停止和单点点动控制，时控无人值守控制，手动远程互相锁定保证现场屏体维护人员安全，方便屏体手动控制及远程控制切换；</w:t>
            </w:r>
            <w:r>
              <w:rPr>
                <w:rFonts w:hint="eastAsia"/>
              </w:rPr>
              <w:br w:type="textWrapping"/>
            </w:r>
            <w:r>
              <w:rPr>
                <w:rFonts w:hint="eastAsia"/>
              </w:rPr>
              <w:t>7、拥有启动、紧急制停按钮，方便异常状态紧急维护使用；</w:t>
            </w:r>
            <w:r>
              <w:rPr>
                <w:rFonts w:hint="eastAsia"/>
              </w:rPr>
              <w:br w:type="textWrapping"/>
            </w:r>
            <w:r>
              <w:rPr>
                <w:rFonts w:hint="eastAsia"/>
              </w:rPr>
              <w:t>8、机柜可采用壁装、挂装安装方式，具有防虫、防鼠功效。</w:t>
            </w:r>
          </w:p>
        </w:tc>
        <w:tc>
          <w:tcPr>
            <w:tcW w:w="457" w:type="dxa"/>
            <w:tcBorders>
              <w:top w:val="nil"/>
              <w:left w:val="nil"/>
              <w:bottom w:val="single" w:color="auto" w:sz="4" w:space="0"/>
              <w:right w:val="single" w:color="auto" w:sz="4" w:space="0"/>
            </w:tcBorders>
            <w:shd w:val="clear" w:color="auto" w:fill="auto"/>
            <w:vAlign w:val="center"/>
          </w:tcPr>
          <w:p w14:paraId="494C22F2">
            <w:r>
              <w:rPr>
                <w:rFonts w:hint="eastAsia"/>
              </w:rPr>
              <w:t>项</w:t>
            </w:r>
          </w:p>
        </w:tc>
        <w:tc>
          <w:tcPr>
            <w:tcW w:w="695" w:type="dxa"/>
            <w:tcBorders>
              <w:top w:val="nil"/>
              <w:left w:val="nil"/>
              <w:bottom w:val="single" w:color="auto" w:sz="4" w:space="0"/>
              <w:right w:val="single" w:color="auto" w:sz="4" w:space="0"/>
            </w:tcBorders>
            <w:shd w:val="clear" w:color="auto" w:fill="auto"/>
            <w:vAlign w:val="center"/>
          </w:tcPr>
          <w:p w14:paraId="4EA2B5E6">
            <w:r>
              <w:rPr>
                <w:rFonts w:hint="eastAsia"/>
              </w:rPr>
              <w:t>1</w:t>
            </w:r>
          </w:p>
        </w:tc>
      </w:tr>
      <w:tr w14:paraId="4B39EEFD">
        <w:tblPrEx>
          <w:tblCellMar>
            <w:top w:w="0" w:type="dxa"/>
            <w:left w:w="108" w:type="dxa"/>
            <w:bottom w:w="0" w:type="dxa"/>
            <w:right w:w="108" w:type="dxa"/>
          </w:tblCellMar>
        </w:tblPrEx>
        <w:trPr>
          <w:trHeight w:val="400" w:hRule="atLeast"/>
        </w:trPr>
        <w:tc>
          <w:tcPr>
            <w:tcW w:w="458" w:type="dxa"/>
            <w:tcBorders>
              <w:top w:val="nil"/>
              <w:left w:val="single" w:color="auto" w:sz="4" w:space="0"/>
              <w:bottom w:val="single" w:color="auto" w:sz="4" w:space="0"/>
              <w:right w:val="single" w:color="auto" w:sz="4" w:space="0"/>
            </w:tcBorders>
            <w:shd w:val="clear" w:color="auto" w:fill="auto"/>
            <w:vAlign w:val="center"/>
          </w:tcPr>
          <w:p w14:paraId="05783F27">
            <w:pPr>
              <w:widowControl/>
              <w:jc w:val="center"/>
              <w:textAlignment w:val="center"/>
            </w:pPr>
            <w:r>
              <w:rPr>
                <w:rFonts w:hint="eastAsia" w:ascii="宋体" w:hAnsi="宋体" w:cs="宋体"/>
                <w:color w:val="000000"/>
                <w:szCs w:val="21"/>
              </w:rPr>
              <w:t>6</w:t>
            </w:r>
          </w:p>
        </w:tc>
        <w:tc>
          <w:tcPr>
            <w:tcW w:w="821" w:type="dxa"/>
            <w:tcBorders>
              <w:top w:val="nil"/>
              <w:left w:val="nil"/>
              <w:bottom w:val="single" w:color="auto" w:sz="4" w:space="0"/>
              <w:right w:val="single" w:color="auto" w:sz="4" w:space="0"/>
            </w:tcBorders>
            <w:shd w:val="clear" w:color="auto" w:fill="auto"/>
            <w:vAlign w:val="center"/>
          </w:tcPr>
          <w:p w14:paraId="75E6D3E6">
            <w:r>
              <w:rPr>
                <w:rFonts w:hint="eastAsia"/>
              </w:rPr>
              <w:t>挂壁</w:t>
            </w:r>
          </w:p>
          <w:p w14:paraId="5E7EF2F2">
            <w:r>
              <w:rPr>
                <w:rFonts w:hint="eastAsia"/>
              </w:rPr>
              <w:t>电视</w:t>
            </w:r>
          </w:p>
        </w:tc>
        <w:tc>
          <w:tcPr>
            <w:tcW w:w="6091" w:type="dxa"/>
            <w:tcBorders>
              <w:top w:val="nil"/>
              <w:left w:val="nil"/>
              <w:bottom w:val="single" w:color="auto" w:sz="4" w:space="0"/>
              <w:right w:val="single" w:color="auto" w:sz="4" w:space="0"/>
            </w:tcBorders>
            <w:shd w:val="clear" w:color="auto" w:fill="auto"/>
            <w:vAlign w:val="center"/>
          </w:tcPr>
          <w:p w14:paraId="333ECC3D">
            <w:r>
              <w:rPr>
                <w:rFonts w:hint="eastAsia"/>
              </w:rPr>
              <w:t>1、面板尺寸不小于55英寸，显示比例16:9，屏幕分辨率≥3840*2160；</w:t>
            </w:r>
            <w:r>
              <w:rPr>
                <w:rFonts w:hint="eastAsia"/>
              </w:rPr>
              <w:br w:type="textWrapping"/>
            </w:r>
            <w:r>
              <w:rPr>
                <w:rFonts w:hint="eastAsia"/>
              </w:rPr>
              <w:t>2、整机采用Android9.0系统，四核处理器，RAM≥2G，ROM≥32G；</w:t>
            </w:r>
            <w:r>
              <w:rPr>
                <w:rFonts w:hint="eastAsia"/>
              </w:rPr>
              <w:br w:type="textWrapping"/>
            </w:r>
            <w:r>
              <w:rPr>
                <w:rFonts w:hint="eastAsia"/>
              </w:rPr>
              <w:t>3、采用2.1声道，内置≥2*15W扬声器；</w:t>
            </w:r>
            <w:r>
              <w:rPr>
                <w:rFonts w:hint="eastAsia"/>
              </w:rPr>
              <w:br w:type="textWrapping"/>
            </w:r>
            <w:r>
              <w:rPr>
                <w:rFonts w:hint="eastAsia"/>
              </w:rPr>
              <w:t>4、I/O接口:≥2路HDMIIN；≥2路USB2.0；≥1路AUDIOIN；≥1路RJ45。</w:t>
            </w:r>
          </w:p>
        </w:tc>
        <w:tc>
          <w:tcPr>
            <w:tcW w:w="457" w:type="dxa"/>
            <w:tcBorders>
              <w:top w:val="nil"/>
              <w:left w:val="nil"/>
              <w:bottom w:val="single" w:color="auto" w:sz="4" w:space="0"/>
              <w:right w:val="single" w:color="auto" w:sz="4" w:space="0"/>
            </w:tcBorders>
            <w:shd w:val="clear" w:color="auto" w:fill="auto"/>
            <w:vAlign w:val="center"/>
          </w:tcPr>
          <w:p w14:paraId="67EBA8A7">
            <w:r>
              <w:rPr>
                <w:rFonts w:hint="eastAsia"/>
              </w:rPr>
              <w:t>台</w:t>
            </w:r>
          </w:p>
        </w:tc>
        <w:tc>
          <w:tcPr>
            <w:tcW w:w="695" w:type="dxa"/>
            <w:tcBorders>
              <w:top w:val="nil"/>
              <w:left w:val="nil"/>
              <w:bottom w:val="single" w:color="auto" w:sz="4" w:space="0"/>
              <w:right w:val="single" w:color="auto" w:sz="4" w:space="0"/>
            </w:tcBorders>
            <w:shd w:val="clear" w:color="auto" w:fill="auto"/>
            <w:vAlign w:val="center"/>
          </w:tcPr>
          <w:p w14:paraId="15418669">
            <w:r>
              <w:rPr>
                <w:rFonts w:hint="eastAsia"/>
              </w:rPr>
              <w:t>2</w:t>
            </w:r>
          </w:p>
        </w:tc>
      </w:tr>
      <w:tr w14:paraId="364D95DF">
        <w:tblPrEx>
          <w:tblCellMar>
            <w:top w:w="0" w:type="dxa"/>
            <w:left w:w="108" w:type="dxa"/>
            <w:bottom w:w="0" w:type="dxa"/>
            <w:right w:w="108" w:type="dxa"/>
          </w:tblCellMar>
        </w:tblPrEx>
        <w:trPr>
          <w:trHeight w:val="400" w:hRule="atLeast"/>
        </w:trPr>
        <w:tc>
          <w:tcPr>
            <w:tcW w:w="458" w:type="dxa"/>
            <w:tcBorders>
              <w:top w:val="nil"/>
              <w:left w:val="single" w:color="auto" w:sz="4" w:space="0"/>
              <w:bottom w:val="single" w:color="auto" w:sz="4" w:space="0"/>
              <w:right w:val="single" w:color="auto" w:sz="4" w:space="0"/>
            </w:tcBorders>
            <w:shd w:val="clear" w:color="auto" w:fill="auto"/>
            <w:vAlign w:val="center"/>
          </w:tcPr>
          <w:p w14:paraId="4410FD1E">
            <w:pPr>
              <w:widowControl/>
              <w:jc w:val="center"/>
              <w:textAlignment w:val="center"/>
            </w:pPr>
            <w:r>
              <w:rPr>
                <w:rFonts w:hint="eastAsia" w:ascii="宋体" w:hAnsi="宋体" w:cs="宋体"/>
                <w:color w:val="000000"/>
                <w:szCs w:val="21"/>
              </w:rPr>
              <w:t>7</w:t>
            </w:r>
          </w:p>
        </w:tc>
        <w:tc>
          <w:tcPr>
            <w:tcW w:w="821" w:type="dxa"/>
            <w:tcBorders>
              <w:top w:val="nil"/>
              <w:left w:val="nil"/>
              <w:bottom w:val="single" w:color="auto" w:sz="4" w:space="0"/>
              <w:right w:val="single" w:color="auto" w:sz="4" w:space="0"/>
            </w:tcBorders>
            <w:shd w:val="clear" w:color="auto" w:fill="auto"/>
            <w:vAlign w:val="center"/>
          </w:tcPr>
          <w:p w14:paraId="5773AA94">
            <w:r>
              <w:rPr>
                <w:rFonts w:hint="eastAsia"/>
              </w:rPr>
              <w:t>人员存在感知设备</w:t>
            </w:r>
          </w:p>
        </w:tc>
        <w:tc>
          <w:tcPr>
            <w:tcW w:w="6091" w:type="dxa"/>
            <w:tcBorders>
              <w:top w:val="nil"/>
              <w:left w:val="nil"/>
              <w:bottom w:val="single" w:color="auto" w:sz="4" w:space="0"/>
              <w:right w:val="single" w:color="auto" w:sz="4" w:space="0"/>
            </w:tcBorders>
            <w:shd w:val="clear" w:color="auto" w:fill="auto"/>
            <w:vAlign w:val="center"/>
          </w:tcPr>
          <w:p w14:paraId="7EF984B9">
            <w:r>
              <w:rPr>
                <w:rFonts w:hint="eastAsia"/>
              </w:rPr>
              <w:t>为响应低碳环保政策，要求显示屏实时检测环境中人员存在情况，及时打开/关闭大屏；</w:t>
            </w:r>
            <w:r>
              <w:rPr>
                <w:rFonts w:hint="eastAsia"/>
              </w:rPr>
              <w:br w:type="textWrapping"/>
            </w:r>
            <w:r>
              <w:rPr>
                <w:rFonts w:hint="eastAsia"/>
              </w:rPr>
              <w:t>1、支持人员静坐、微动和动态检测；支持有无人告警；支持区域滞留检测；支持持续无人检测；</w:t>
            </w:r>
            <w:r>
              <w:rPr>
                <w:rFonts w:hint="eastAsia"/>
              </w:rPr>
              <w:br w:type="textWrapping"/>
            </w:r>
            <w:r>
              <w:rPr>
                <w:rFonts w:hint="eastAsia"/>
              </w:rPr>
              <w:t>2、调制方式:FMCW；</w:t>
            </w:r>
            <w:r>
              <w:rPr>
                <w:rFonts w:hint="eastAsia"/>
              </w:rPr>
              <w:br w:type="textWrapping"/>
            </w:r>
            <w:r>
              <w:rPr>
                <w:rFonts w:hint="eastAsia"/>
              </w:rPr>
              <w:t>3、工作中心频率:60GHz；</w:t>
            </w:r>
            <w:r>
              <w:rPr>
                <w:rFonts w:hint="eastAsia"/>
              </w:rPr>
              <w:br w:type="textWrapping"/>
            </w:r>
            <w:r>
              <w:rPr>
                <w:rFonts w:hint="eastAsia"/>
              </w:rPr>
              <w:t>4、通信接口:2.4GHzWIFI；</w:t>
            </w:r>
            <w:r>
              <w:rPr>
                <w:rFonts w:hint="eastAsia"/>
              </w:rPr>
              <w:br w:type="textWrapping"/>
            </w:r>
            <w:r>
              <w:rPr>
                <w:rFonts w:hint="eastAsia"/>
              </w:rPr>
              <w:t>5、电源:DC12V；</w:t>
            </w:r>
            <w:r>
              <w:rPr>
                <w:rFonts w:hint="eastAsia"/>
              </w:rPr>
              <w:br w:type="textWrapping"/>
            </w:r>
            <w:r>
              <w:rPr>
                <w:rFonts w:hint="eastAsia"/>
              </w:rPr>
              <w:t>6、工作温度:-20℃~50℃。</w:t>
            </w:r>
            <w:r>
              <w:rPr>
                <w:rFonts w:hint="eastAsia"/>
              </w:rPr>
              <w:br w:type="textWrapping"/>
            </w:r>
            <w:r>
              <w:rPr>
                <w:rFonts w:hint="eastAsia"/>
              </w:rPr>
              <w:t>7、★配合LED大屏显示系统具有智能节能功能，可自由选择开启或关闭，支持检测是否有人观看，以大屏显示面积为检测起始线≤8米无人观看时，大屏可自动关闭。（提供相关功能测试视频为证）。</w:t>
            </w:r>
          </w:p>
        </w:tc>
        <w:tc>
          <w:tcPr>
            <w:tcW w:w="457" w:type="dxa"/>
            <w:tcBorders>
              <w:top w:val="nil"/>
              <w:left w:val="nil"/>
              <w:bottom w:val="single" w:color="auto" w:sz="4" w:space="0"/>
              <w:right w:val="single" w:color="auto" w:sz="4" w:space="0"/>
            </w:tcBorders>
            <w:shd w:val="clear" w:color="auto" w:fill="auto"/>
            <w:vAlign w:val="center"/>
          </w:tcPr>
          <w:p w14:paraId="066E76F8">
            <w:r>
              <w:rPr>
                <w:rFonts w:hint="eastAsia"/>
              </w:rPr>
              <w:t>套</w:t>
            </w:r>
          </w:p>
        </w:tc>
        <w:tc>
          <w:tcPr>
            <w:tcW w:w="695" w:type="dxa"/>
            <w:tcBorders>
              <w:top w:val="nil"/>
              <w:left w:val="nil"/>
              <w:bottom w:val="single" w:color="auto" w:sz="4" w:space="0"/>
              <w:right w:val="single" w:color="auto" w:sz="4" w:space="0"/>
            </w:tcBorders>
            <w:shd w:val="clear" w:color="auto" w:fill="auto"/>
            <w:vAlign w:val="center"/>
          </w:tcPr>
          <w:p w14:paraId="0B053A68">
            <w:r>
              <w:rPr>
                <w:rFonts w:hint="eastAsia"/>
              </w:rPr>
              <w:t>1</w:t>
            </w:r>
          </w:p>
        </w:tc>
      </w:tr>
      <w:tr w14:paraId="26FAD677">
        <w:tblPrEx>
          <w:tblCellMar>
            <w:top w:w="0" w:type="dxa"/>
            <w:left w:w="108" w:type="dxa"/>
            <w:bottom w:w="0" w:type="dxa"/>
            <w:right w:w="108" w:type="dxa"/>
          </w:tblCellMar>
        </w:tblPrEx>
        <w:trPr>
          <w:trHeight w:val="6735" w:hRule="atLeast"/>
        </w:trPr>
        <w:tc>
          <w:tcPr>
            <w:tcW w:w="458" w:type="dxa"/>
            <w:tcBorders>
              <w:top w:val="nil"/>
              <w:left w:val="single" w:color="auto" w:sz="4" w:space="0"/>
              <w:bottom w:val="single" w:color="auto" w:sz="4" w:space="0"/>
              <w:right w:val="single" w:color="auto" w:sz="4" w:space="0"/>
            </w:tcBorders>
            <w:shd w:val="clear" w:color="auto" w:fill="auto"/>
            <w:vAlign w:val="center"/>
          </w:tcPr>
          <w:p w14:paraId="191A866A">
            <w:pPr>
              <w:widowControl/>
              <w:jc w:val="center"/>
              <w:textAlignment w:val="center"/>
            </w:pPr>
            <w:r>
              <w:rPr>
                <w:rFonts w:hint="eastAsia" w:ascii="宋体" w:hAnsi="宋体" w:cs="宋体"/>
                <w:color w:val="000000"/>
                <w:szCs w:val="21"/>
              </w:rPr>
              <w:t>8</w:t>
            </w:r>
          </w:p>
        </w:tc>
        <w:tc>
          <w:tcPr>
            <w:tcW w:w="821" w:type="dxa"/>
            <w:tcBorders>
              <w:top w:val="nil"/>
              <w:left w:val="nil"/>
              <w:bottom w:val="single" w:color="auto" w:sz="4" w:space="0"/>
              <w:right w:val="single" w:color="auto" w:sz="4" w:space="0"/>
            </w:tcBorders>
            <w:shd w:val="clear" w:color="auto" w:fill="auto"/>
            <w:vAlign w:val="center"/>
          </w:tcPr>
          <w:p w14:paraId="11D79526">
            <w:r>
              <w:rPr>
                <w:rFonts w:hint="eastAsia"/>
              </w:rPr>
              <w:t>视频处理器</w:t>
            </w:r>
          </w:p>
        </w:tc>
        <w:tc>
          <w:tcPr>
            <w:tcW w:w="6091" w:type="dxa"/>
            <w:tcBorders>
              <w:top w:val="nil"/>
              <w:left w:val="nil"/>
              <w:bottom w:val="single" w:color="auto" w:sz="4" w:space="0"/>
              <w:right w:val="single" w:color="auto" w:sz="4" w:space="0"/>
            </w:tcBorders>
            <w:shd w:val="clear" w:color="auto" w:fill="auto"/>
            <w:vAlign w:val="center"/>
          </w:tcPr>
          <w:p w14:paraId="57B5E46E">
            <w:r>
              <w:rPr>
                <w:rFonts w:hint="eastAsia"/>
              </w:rPr>
              <w:t>1、采用全硬件FPGA架构，嵌入式Linux操作系统，支持7×24小时稳定运行，为保证设备使用灵活度，设备应采用插卡式机箱设计，可灵活配置板卡；</w:t>
            </w:r>
            <w:r>
              <w:rPr>
                <w:rFonts w:hint="eastAsia"/>
              </w:rPr>
              <w:br w:type="textWrapping"/>
            </w:r>
            <w:r>
              <w:rPr>
                <w:rFonts w:hint="eastAsia"/>
              </w:rPr>
              <w:t>2、设备板卡槽位均可接入具有2口或4口或8口的HDMI/DVI/VGA输入或输出端口的板卡并正常工作；</w:t>
            </w:r>
            <w:r>
              <w:rPr>
                <w:rFonts w:hint="eastAsia"/>
              </w:rPr>
              <w:br w:type="textWrapping"/>
            </w:r>
            <w:r>
              <w:rPr>
                <w:rFonts w:hint="eastAsia"/>
              </w:rPr>
              <w:t>3、★单个输出通道可开32个窗口，提供公安部检测机构出具的检测报告扫描件或影印件；</w:t>
            </w:r>
            <w:r>
              <w:rPr>
                <w:rFonts w:hint="eastAsia"/>
              </w:rPr>
              <w:br w:type="textWrapping"/>
            </w:r>
            <w:r>
              <w:rPr>
                <w:rFonts w:hint="eastAsia"/>
              </w:rPr>
              <w:t>4、★从视频信号正常接入，到视频画面正常显示的时间≤30ms，提供公安部检测机构出具的检测报告扫描件或影印件；</w:t>
            </w:r>
            <w:r>
              <w:rPr>
                <w:rFonts w:hint="eastAsia"/>
              </w:rPr>
              <w:br w:type="textWrapping"/>
            </w:r>
            <w:r>
              <w:rPr>
                <w:rFonts w:hint="eastAsia"/>
              </w:rPr>
              <w:t>5、可对指定的视频画面进行缩放、漫游、跨屏、叠加以及多窗口拼接等操作；</w:t>
            </w:r>
            <w:r>
              <w:rPr>
                <w:rFonts w:hint="eastAsia"/>
              </w:rPr>
              <w:br w:type="textWrapping"/>
            </w:r>
            <w:r>
              <w:rPr>
                <w:rFonts w:hint="eastAsia"/>
              </w:rPr>
              <w:t>6、可将叠加显示的窗口进行置顶或置底操作；</w:t>
            </w:r>
            <w:r>
              <w:rPr>
                <w:rFonts w:hint="eastAsia"/>
              </w:rPr>
              <w:br w:type="textWrapping"/>
            </w:r>
            <w:r>
              <w:rPr>
                <w:rFonts w:hint="eastAsia"/>
              </w:rPr>
              <w:t>7、可对多种场景进行保存和调用，可最多保存128个场景；</w:t>
            </w:r>
            <w:r>
              <w:rPr>
                <w:rFonts w:hint="eastAsia"/>
              </w:rPr>
              <w:br w:type="textWrapping"/>
            </w:r>
            <w:r>
              <w:rPr>
                <w:rFonts w:hint="eastAsia"/>
              </w:rPr>
              <w:t>8、可根据机箱内温度自动调节风扇转速；</w:t>
            </w:r>
            <w:r>
              <w:rPr>
                <w:rFonts w:hint="eastAsia"/>
              </w:rPr>
              <w:br w:type="textWrapping"/>
            </w:r>
            <w:r>
              <w:rPr>
                <w:rFonts w:hint="eastAsia"/>
              </w:rPr>
              <w:t>9、支持控制外接的LED屏幕的手动、定时、倒计时开关机以及延时关机；</w:t>
            </w:r>
            <w:r>
              <w:rPr>
                <w:rFonts w:hint="eastAsia"/>
              </w:rPr>
              <w:br w:type="textWrapping"/>
            </w:r>
            <w:r>
              <w:rPr>
                <w:rFonts w:hint="eastAsia"/>
              </w:rPr>
              <w:t>10、可自动显示接入板卡的类型、在线状态、温度、运行时间、内存使用率、CPU使用率等信息；</w:t>
            </w:r>
            <w:r>
              <w:rPr>
                <w:rFonts w:hint="eastAsia"/>
              </w:rPr>
              <w:br w:type="textWrapping"/>
            </w:r>
            <w:r>
              <w:rPr>
                <w:rFonts w:hint="eastAsia"/>
              </w:rPr>
              <w:t>11、★具有电视墙管理移动客户端软件，具有自主知识产权，提供软件著作权证书；</w:t>
            </w:r>
            <w:r>
              <w:rPr>
                <w:rFonts w:hint="eastAsia"/>
              </w:rPr>
              <w:br w:type="textWrapping"/>
            </w:r>
            <w:r>
              <w:rPr>
                <w:rFonts w:hint="eastAsia"/>
              </w:rPr>
              <w:t>12、配置不少8路高清视频输入口、8路高清视频输出口。</w:t>
            </w:r>
          </w:p>
        </w:tc>
        <w:tc>
          <w:tcPr>
            <w:tcW w:w="457" w:type="dxa"/>
            <w:tcBorders>
              <w:top w:val="nil"/>
              <w:left w:val="nil"/>
              <w:bottom w:val="single" w:color="auto" w:sz="4" w:space="0"/>
              <w:right w:val="single" w:color="auto" w:sz="4" w:space="0"/>
            </w:tcBorders>
            <w:shd w:val="clear" w:color="auto" w:fill="auto"/>
            <w:vAlign w:val="center"/>
          </w:tcPr>
          <w:p w14:paraId="226F781D">
            <w:r>
              <w:rPr>
                <w:rFonts w:hint="eastAsia"/>
              </w:rPr>
              <w:t>台</w:t>
            </w:r>
          </w:p>
        </w:tc>
        <w:tc>
          <w:tcPr>
            <w:tcW w:w="695" w:type="dxa"/>
            <w:tcBorders>
              <w:top w:val="nil"/>
              <w:left w:val="nil"/>
              <w:bottom w:val="single" w:color="auto" w:sz="4" w:space="0"/>
              <w:right w:val="single" w:color="auto" w:sz="4" w:space="0"/>
            </w:tcBorders>
            <w:shd w:val="clear" w:color="auto" w:fill="auto"/>
            <w:vAlign w:val="center"/>
          </w:tcPr>
          <w:p w14:paraId="2D73FD37">
            <w:r>
              <w:rPr>
                <w:rFonts w:hint="eastAsia"/>
              </w:rPr>
              <w:t>1</w:t>
            </w:r>
          </w:p>
        </w:tc>
      </w:tr>
      <w:tr w14:paraId="71333437">
        <w:tblPrEx>
          <w:tblCellMar>
            <w:top w:w="0" w:type="dxa"/>
            <w:left w:w="108" w:type="dxa"/>
            <w:bottom w:w="0" w:type="dxa"/>
            <w:right w:w="108" w:type="dxa"/>
          </w:tblCellMar>
        </w:tblPrEx>
        <w:trPr>
          <w:trHeight w:val="400" w:hRule="atLeast"/>
        </w:trPr>
        <w:tc>
          <w:tcPr>
            <w:tcW w:w="458" w:type="dxa"/>
            <w:tcBorders>
              <w:top w:val="nil"/>
              <w:left w:val="single" w:color="auto" w:sz="4" w:space="0"/>
              <w:bottom w:val="single" w:color="auto" w:sz="4" w:space="0"/>
              <w:right w:val="single" w:color="auto" w:sz="4" w:space="0"/>
            </w:tcBorders>
            <w:shd w:val="clear" w:color="auto" w:fill="auto"/>
            <w:vAlign w:val="center"/>
          </w:tcPr>
          <w:p w14:paraId="36DCD846">
            <w:pPr>
              <w:widowControl/>
              <w:jc w:val="center"/>
              <w:textAlignment w:val="center"/>
            </w:pPr>
            <w:r>
              <w:rPr>
                <w:rFonts w:hint="eastAsia" w:ascii="宋体" w:hAnsi="宋体" w:cs="宋体"/>
                <w:color w:val="000000"/>
                <w:szCs w:val="21"/>
              </w:rPr>
              <w:t>9</w:t>
            </w:r>
          </w:p>
        </w:tc>
        <w:tc>
          <w:tcPr>
            <w:tcW w:w="821" w:type="dxa"/>
            <w:tcBorders>
              <w:top w:val="nil"/>
              <w:left w:val="nil"/>
              <w:bottom w:val="single" w:color="auto" w:sz="4" w:space="0"/>
              <w:right w:val="single" w:color="auto" w:sz="4" w:space="0"/>
            </w:tcBorders>
            <w:shd w:val="clear" w:color="auto" w:fill="auto"/>
            <w:vAlign w:val="center"/>
          </w:tcPr>
          <w:p w14:paraId="6155513F">
            <w:r>
              <w:rPr>
                <w:rFonts w:hint="eastAsia"/>
              </w:rPr>
              <w:t>会议控制电脑</w:t>
            </w:r>
          </w:p>
        </w:tc>
        <w:tc>
          <w:tcPr>
            <w:tcW w:w="6091" w:type="dxa"/>
            <w:tcBorders>
              <w:top w:val="nil"/>
              <w:left w:val="nil"/>
              <w:bottom w:val="single" w:color="auto" w:sz="4" w:space="0"/>
              <w:right w:val="single" w:color="auto" w:sz="4" w:space="0"/>
            </w:tcBorders>
            <w:shd w:val="clear" w:color="auto" w:fill="auto"/>
            <w:vAlign w:val="center"/>
          </w:tcPr>
          <w:p w14:paraId="0C3B7132">
            <w:r>
              <w:rPr>
                <w:rFonts w:hint="eastAsia"/>
              </w:rPr>
              <w:t>1、</w:t>
            </w:r>
            <w:r>
              <w:t>CPU</w:t>
            </w:r>
            <w:r>
              <w:rPr>
                <w:rFonts w:hint="eastAsia"/>
              </w:rPr>
              <w:t>：酷睿Ultra</w:t>
            </w:r>
            <w:r>
              <w:t xml:space="preserve"> </w:t>
            </w:r>
            <w:r>
              <w:rPr>
                <w:rFonts w:hint="eastAsia"/>
              </w:rPr>
              <w:t>18线程；</w:t>
            </w:r>
          </w:p>
          <w:p w14:paraId="3F0DC2C6">
            <w:pPr>
              <w:rPr>
                <w:rFonts w:hint="eastAsia"/>
              </w:rPr>
            </w:pPr>
            <w:r>
              <w:rPr>
                <w:rFonts w:hint="eastAsia"/>
              </w:rPr>
              <w:t>2、内存：</w:t>
            </w:r>
            <w:r>
              <w:t>16GB</w:t>
            </w:r>
            <w:r>
              <w:rPr>
                <w:rFonts w:hint="eastAsia"/>
              </w:rPr>
              <w:t xml:space="preserve"> ；</w:t>
            </w:r>
          </w:p>
          <w:p w14:paraId="6DC883FB">
            <w:r>
              <w:rPr>
                <w:rFonts w:hint="eastAsia"/>
              </w:rPr>
              <w:t>3、硬盘：</w:t>
            </w:r>
            <w:r>
              <w:t>1TB SSD</w:t>
            </w:r>
            <w:r>
              <w:rPr>
                <w:rFonts w:hint="eastAsia"/>
              </w:rPr>
              <w:t>；</w:t>
            </w:r>
          </w:p>
          <w:p w14:paraId="6257E8A6">
            <w:pPr>
              <w:rPr>
                <w:rFonts w:hint="eastAsia"/>
              </w:rPr>
            </w:pPr>
            <w:r>
              <w:rPr>
                <w:rFonts w:hint="eastAsia"/>
              </w:rPr>
              <w:t>4、屏幕：14英寸，</w:t>
            </w:r>
            <w:r>
              <w:t>120Hz</w:t>
            </w:r>
            <w:r>
              <w:rPr>
                <w:rFonts w:hint="eastAsia"/>
              </w:rPr>
              <w:t>，分辨率≥2</w:t>
            </w:r>
            <w:r>
              <w:t>K</w:t>
            </w:r>
            <w:r>
              <w:rPr>
                <w:rFonts w:hint="eastAsia"/>
              </w:rPr>
              <w:t>，</w:t>
            </w:r>
            <w:r>
              <w:t>100%sRGB</w:t>
            </w:r>
            <w:r>
              <w:rPr>
                <w:rFonts w:hint="eastAsia"/>
              </w:rPr>
              <w:t>；</w:t>
            </w:r>
          </w:p>
          <w:p w14:paraId="34E81619">
            <w:pPr>
              <w:rPr>
                <w:rFonts w:hint="eastAsia"/>
              </w:rPr>
            </w:pPr>
            <w:r>
              <w:rPr>
                <w:rFonts w:hint="eastAsia"/>
              </w:rPr>
              <w:t>5、电池：额定容量7</w:t>
            </w:r>
            <w:r>
              <w:t>7Wh</w:t>
            </w:r>
            <w:r>
              <w:rPr>
                <w:rFonts w:hint="eastAsia"/>
              </w:rPr>
              <w:t>，配套原厂充电器；</w:t>
            </w:r>
          </w:p>
          <w:p w14:paraId="775C0B20">
            <w:r>
              <w:rPr>
                <w:rFonts w:hint="eastAsia"/>
              </w:rPr>
              <w:t>6、系统配置：正版Windows 11；</w:t>
            </w:r>
          </w:p>
          <w:p w14:paraId="1658F00D">
            <w:pPr>
              <w:rPr>
                <w:rFonts w:hint="eastAsia"/>
              </w:rPr>
            </w:pPr>
            <w:r>
              <w:t>7</w:t>
            </w:r>
            <w:r>
              <w:rPr>
                <w:rFonts w:hint="eastAsia"/>
              </w:rPr>
              <w:t>、机身材质：金属+复合材质；</w:t>
            </w:r>
          </w:p>
        </w:tc>
        <w:tc>
          <w:tcPr>
            <w:tcW w:w="457" w:type="dxa"/>
            <w:tcBorders>
              <w:top w:val="nil"/>
              <w:left w:val="nil"/>
              <w:bottom w:val="single" w:color="auto" w:sz="4" w:space="0"/>
              <w:right w:val="single" w:color="auto" w:sz="4" w:space="0"/>
            </w:tcBorders>
            <w:shd w:val="clear" w:color="auto" w:fill="auto"/>
            <w:vAlign w:val="center"/>
          </w:tcPr>
          <w:p w14:paraId="10B93E5E">
            <w:r>
              <w:rPr>
                <w:rFonts w:hint="eastAsia"/>
              </w:rPr>
              <w:t>台</w:t>
            </w:r>
          </w:p>
        </w:tc>
        <w:tc>
          <w:tcPr>
            <w:tcW w:w="695" w:type="dxa"/>
            <w:tcBorders>
              <w:top w:val="nil"/>
              <w:left w:val="nil"/>
              <w:bottom w:val="single" w:color="auto" w:sz="4" w:space="0"/>
              <w:right w:val="single" w:color="auto" w:sz="4" w:space="0"/>
            </w:tcBorders>
            <w:shd w:val="clear" w:color="auto" w:fill="auto"/>
            <w:vAlign w:val="center"/>
          </w:tcPr>
          <w:p w14:paraId="4F525991">
            <w:r>
              <w:rPr>
                <w:rFonts w:hint="eastAsia"/>
              </w:rPr>
              <w:t>1</w:t>
            </w:r>
          </w:p>
        </w:tc>
      </w:tr>
      <w:tr w14:paraId="1E4BFD67">
        <w:tblPrEx>
          <w:tblCellMar>
            <w:top w:w="0" w:type="dxa"/>
            <w:left w:w="108" w:type="dxa"/>
            <w:bottom w:w="0" w:type="dxa"/>
            <w:right w:w="108" w:type="dxa"/>
          </w:tblCellMar>
        </w:tblPrEx>
        <w:trPr>
          <w:trHeight w:val="400" w:hRule="atLeast"/>
        </w:trPr>
        <w:tc>
          <w:tcPr>
            <w:tcW w:w="458" w:type="dxa"/>
            <w:tcBorders>
              <w:top w:val="single" w:color="auto" w:sz="4" w:space="0"/>
              <w:left w:val="single" w:color="auto" w:sz="4" w:space="0"/>
              <w:bottom w:val="single" w:color="auto" w:sz="4" w:space="0"/>
              <w:right w:val="single" w:color="auto" w:sz="4" w:space="0"/>
            </w:tcBorders>
            <w:shd w:val="clear" w:color="auto" w:fill="auto"/>
            <w:vAlign w:val="center"/>
          </w:tcPr>
          <w:p w14:paraId="00F3C8F4">
            <w:pPr>
              <w:widowControl/>
              <w:jc w:val="center"/>
              <w:textAlignment w:val="center"/>
            </w:pPr>
            <w:r>
              <w:rPr>
                <w:rFonts w:hint="eastAsia" w:ascii="宋体" w:hAnsi="宋体" w:cs="宋体"/>
                <w:color w:val="000000"/>
                <w:kern w:val="0"/>
              </w:rPr>
              <w:t>10</w:t>
            </w:r>
          </w:p>
        </w:tc>
        <w:tc>
          <w:tcPr>
            <w:tcW w:w="821" w:type="dxa"/>
            <w:tcBorders>
              <w:top w:val="single" w:color="auto" w:sz="4" w:space="0"/>
              <w:left w:val="single" w:color="auto" w:sz="4" w:space="0"/>
              <w:bottom w:val="single" w:color="auto" w:sz="4" w:space="0"/>
              <w:right w:val="single" w:color="auto" w:sz="4" w:space="0"/>
            </w:tcBorders>
            <w:shd w:val="clear" w:color="auto" w:fill="auto"/>
            <w:vAlign w:val="center"/>
          </w:tcPr>
          <w:p w14:paraId="4448B3C5">
            <w:r>
              <w:rPr>
                <w:rFonts w:hint="eastAsia"/>
              </w:rPr>
              <w:t>安装</w:t>
            </w:r>
          </w:p>
          <w:p w14:paraId="6B9BBFA4">
            <w:r>
              <w:rPr>
                <w:rFonts w:hint="eastAsia"/>
              </w:rPr>
              <w:t>调试</w:t>
            </w:r>
          </w:p>
        </w:tc>
        <w:tc>
          <w:tcPr>
            <w:tcW w:w="6091" w:type="dxa"/>
            <w:tcBorders>
              <w:top w:val="single" w:color="auto" w:sz="4" w:space="0"/>
              <w:left w:val="single" w:color="auto" w:sz="4" w:space="0"/>
              <w:bottom w:val="single" w:color="auto" w:sz="4" w:space="0"/>
              <w:right w:val="single" w:color="auto" w:sz="4" w:space="0"/>
            </w:tcBorders>
            <w:shd w:val="clear" w:color="auto" w:fill="auto"/>
            <w:vAlign w:val="center"/>
          </w:tcPr>
          <w:p w14:paraId="2F8EA401">
            <w:r>
              <w:rPr>
                <w:rFonts w:hint="eastAsia"/>
              </w:rPr>
              <w:t>安装、运输、调试、培训；售后；</w:t>
            </w:r>
            <w:r>
              <w:rPr>
                <w:rFonts w:hint="eastAsia"/>
              </w:rPr>
              <w:br w:type="textWrapping"/>
            </w:r>
            <w:r>
              <w:rPr>
                <w:rFonts w:hint="eastAsia"/>
              </w:rPr>
              <w:t>1、屏体现场符合安装调试、产品交付，安全防范标准、技术和工艺标准；</w:t>
            </w:r>
            <w:r>
              <w:rPr>
                <w:rFonts w:hint="eastAsia"/>
              </w:rPr>
              <w:br w:type="textWrapping"/>
            </w:r>
            <w:r>
              <w:rPr>
                <w:rFonts w:hint="eastAsia"/>
              </w:rPr>
              <w:t>2、现场规范移交对接训和基本操作培训；</w:t>
            </w:r>
            <w:r>
              <w:rPr>
                <w:rFonts w:hint="eastAsia"/>
              </w:rPr>
              <w:br w:type="textWrapping"/>
            </w:r>
            <w:r>
              <w:rPr>
                <w:rFonts w:hint="eastAsia"/>
              </w:rPr>
              <w:t>3、含货物运输现场车辆运输费用；</w:t>
            </w:r>
            <w:r>
              <w:rPr>
                <w:rFonts w:hint="eastAsia"/>
              </w:rPr>
              <w:br w:type="textWrapping"/>
            </w:r>
            <w:r>
              <w:rPr>
                <w:rFonts w:hint="eastAsia"/>
              </w:rPr>
              <w:t>4、含三年内免费上门售后。</w:t>
            </w:r>
          </w:p>
        </w:tc>
        <w:tc>
          <w:tcPr>
            <w:tcW w:w="457" w:type="dxa"/>
            <w:tcBorders>
              <w:top w:val="single" w:color="auto" w:sz="4" w:space="0"/>
              <w:left w:val="single" w:color="auto" w:sz="4" w:space="0"/>
              <w:bottom w:val="single" w:color="auto" w:sz="4" w:space="0"/>
              <w:right w:val="single" w:color="auto" w:sz="4" w:space="0"/>
            </w:tcBorders>
            <w:shd w:val="clear" w:color="auto" w:fill="auto"/>
            <w:vAlign w:val="center"/>
          </w:tcPr>
          <w:p w14:paraId="3632C5B5">
            <w:r>
              <w:rPr>
                <w:rFonts w:hint="eastAsia"/>
              </w:rPr>
              <w:t>项</w:t>
            </w:r>
          </w:p>
        </w:tc>
        <w:tc>
          <w:tcPr>
            <w:tcW w:w="695" w:type="dxa"/>
            <w:tcBorders>
              <w:top w:val="single" w:color="auto" w:sz="4" w:space="0"/>
              <w:left w:val="single" w:color="auto" w:sz="4" w:space="0"/>
              <w:bottom w:val="single" w:color="auto" w:sz="4" w:space="0"/>
              <w:right w:val="single" w:color="auto" w:sz="4" w:space="0"/>
            </w:tcBorders>
            <w:shd w:val="clear" w:color="auto" w:fill="auto"/>
            <w:vAlign w:val="center"/>
          </w:tcPr>
          <w:p w14:paraId="3FCCA8AE">
            <w:r>
              <w:rPr>
                <w:rFonts w:hint="eastAsia"/>
              </w:rPr>
              <w:t>1</w:t>
            </w:r>
          </w:p>
        </w:tc>
      </w:tr>
      <w:tr w14:paraId="2A95B91B">
        <w:tblPrEx>
          <w:tblCellMar>
            <w:top w:w="0" w:type="dxa"/>
            <w:left w:w="108" w:type="dxa"/>
            <w:bottom w:w="0" w:type="dxa"/>
            <w:right w:w="108" w:type="dxa"/>
          </w:tblCellMar>
        </w:tblPrEx>
        <w:trPr>
          <w:trHeight w:val="400" w:hRule="atLeast"/>
        </w:trPr>
        <w:tc>
          <w:tcPr>
            <w:tcW w:w="458" w:type="dxa"/>
            <w:tcBorders>
              <w:top w:val="single" w:color="auto" w:sz="4" w:space="0"/>
              <w:left w:val="single" w:color="auto" w:sz="4" w:space="0"/>
              <w:bottom w:val="single" w:color="auto" w:sz="4" w:space="0"/>
              <w:right w:val="single" w:color="auto" w:sz="4" w:space="0"/>
            </w:tcBorders>
            <w:shd w:val="clear" w:color="auto" w:fill="auto"/>
            <w:vAlign w:val="center"/>
          </w:tcPr>
          <w:p w14:paraId="5148766E">
            <w:pPr>
              <w:widowControl/>
              <w:jc w:val="center"/>
              <w:textAlignment w:val="center"/>
            </w:pPr>
            <w:r>
              <w:rPr>
                <w:rFonts w:hint="eastAsia" w:ascii="宋体" w:hAnsi="宋体" w:cs="宋体"/>
                <w:color w:val="000000"/>
                <w:szCs w:val="21"/>
              </w:rPr>
              <w:t>11</w:t>
            </w:r>
          </w:p>
        </w:tc>
        <w:tc>
          <w:tcPr>
            <w:tcW w:w="821" w:type="dxa"/>
            <w:tcBorders>
              <w:top w:val="single" w:color="auto" w:sz="4" w:space="0"/>
              <w:left w:val="single" w:color="auto" w:sz="4" w:space="0"/>
              <w:bottom w:val="single" w:color="auto" w:sz="4" w:space="0"/>
              <w:right w:val="single" w:color="auto" w:sz="4" w:space="0"/>
            </w:tcBorders>
            <w:shd w:val="clear" w:color="auto" w:fill="auto"/>
            <w:vAlign w:val="center"/>
          </w:tcPr>
          <w:p w14:paraId="5356E051">
            <w:r>
              <w:rPr>
                <w:rFonts w:hint="eastAsia"/>
              </w:rPr>
              <w:t>相关</w:t>
            </w:r>
          </w:p>
          <w:p w14:paraId="208CAE32">
            <w:r>
              <w:rPr>
                <w:rFonts w:hint="eastAsia"/>
              </w:rPr>
              <w:t>配件</w:t>
            </w:r>
          </w:p>
        </w:tc>
        <w:tc>
          <w:tcPr>
            <w:tcW w:w="6091" w:type="dxa"/>
            <w:tcBorders>
              <w:top w:val="single" w:color="auto" w:sz="4" w:space="0"/>
              <w:left w:val="single" w:color="auto" w:sz="4" w:space="0"/>
              <w:bottom w:val="single" w:color="auto" w:sz="4" w:space="0"/>
              <w:right w:val="single" w:color="auto" w:sz="4" w:space="0"/>
            </w:tcBorders>
            <w:shd w:val="clear" w:color="auto" w:fill="auto"/>
            <w:vAlign w:val="center"/>
          </w:tcPr>
          <w:p w14:paraId="1659CDDE">
            <w:r>
              <w:rPr>
                <w:rFonts w:hint="eastAsia"/>
              </w:rPr>
              <w:t>国标铜芯动力电源线，6类国标网线，连接线、接头、插头等满足现场需要。</w:t>
            </w:r>
          </w:p>
        </w:tc>
        <w:tc>
          <w:tcPr>
            <w:tcW w:w="457" w:type="dxa"/>
            <w:tcBorders>
              <w:top w:val="single" w:color="auto" w:sz="4" w:space="0"/>
              <w:left w:val="single" w:color="auto" w:sz="4" w:space="0"/>
              <w:bottom w:val="single" w:color="auto" w:sz="4" w:space="0"/>
              <w:right w:val="single" w:color="auto" w:sz="4" w:space="0"/>
            </w:tcBorders>
            <w:shd w:val="clear" w:color="auto" w:fill="auto"/>
            <w:vAlign w:val="center"/>
          </w:tcPr>
          <w:p w14:paraId="291C05A6">
            <w:r>
              <w:rPr>
                <w:rFonts w:hint="eastAsia"/>
              </w:rPr>
              <w:t>项</w:t>
            </w:r>
          </w:p>
        </w:tc>
        <w:tc>
          <w:tcPr>
            <w:tcW w:w="695" w:type="dxa"/>
            <w:tcBorders>
              <w:top w:val="single" w:color="auto" w:sz="4" w:space="0"/>
              <w:left w:val="single" w:color="auto" w:sz="4" w:space="0"/>
              <w:bottom w:val="single" w:color="auto" w:sz="4" w:space="0"/>
              <w:right w:val="single" w:color="auto" w:sz="4" w:space="0"/>
            </w:tcBorders>
            <w:shd w:val="clear" w:color="auto" w:fill="auto"/>
            <w:vAlign w:val="center"/>
          </w:tcPr>
          <w:p w14:paraId="2AB0472A">
            <w:r>
              <w:rPr>
                <w:rFonts w:hint="eastAsia"/>
              </w:rPr>
              <w:t>1</w:t>
            </w:r>
          </w:p>
        </w:tc>
      </w:tr>
    </w:tbl>
    <w:p w14:paraId="5EC092F4">
      <w:pPr>
        <w:numPr>
          <w:ilvl w:val="0"/>
          <w:numId w:val="2"/>
        </w:numPr>
        <w:spacing w:line="560" w:lineRule="exact"/>
        <w:ind w:firstLine="640" w:firstLineChars="200"/>
      </w:pPr>
      <w:r>
        <w:rPr>
          <w:rFonts w:hint="eastAsia" w:ascii="仿宋" w:hAnsi="仿宋" w:eastAsia="仿宋" w:cs="仿宋"/>
          <w:sz w:val="32"/>
          <w:szCs w:val="32"/>
        </w:rPr>
        <w:t>学生处数字化多媒体会议室</w:t>
      </w:r>
    </w:p>
    <w:tbl>
      <w:tblPr>
        <w:tblStyle w:val="7"/>
        <w:tblW w:w="0" w:type="auto"/>
        <w:tblInd w:w="0" w:type="dxa"/>
        <w:tblLayout w:type="autofit"/>
        <w:tblCellMar>
          <w:top w:w="0" w:type="dxa"/>
          <w:left w:w="108" w:type="dxa"/>
          <w:bottom w:w="0" w:type="dxa"/>
          <w:right w:w="108" w:type="dxa"/>
        </w:tblCellMar>
      </w:tblPr>
      <w:tblGrid>
        <w:gridCol w:w="458"/>
        <w:gridCol w:w="821"/>
        <w:gridCol w:w="6091"/>
        <w:gridCol w:w="457"/>
        <w:gridCol w:w="695"/>
      </w:tblGrid>
      <w:tr w14:paraId="33814A71">
        <w:tblPrEx>
          <w:tblCellMar>
            <w:top w:w="0" w:type="dxa"/>
            <w:left w:w="108" w:type="dxa"/>
            <w:bottom w:w="0" w:type="dxa"/>
            <w:right w:w="108" w:type="dxa"/>
          </w:tblCellMar>
        </w:tblPrEx>
        <w:trPr>
          <w:trHeight w:val="400"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14:paraId="4A9F6422">
            <w:pPr>
              <w:widowControl/>
              <w:spacing w:line="400" w:lineRule="exact"/>
              <w:jc w:val="center"/>
              <w:textAlignment w:val="center"/>
              <w:rPr>
                <w:rFonts w:ascii="仿宋" w:hAnsi="仿宋" w:eastAsia="仿宋" w:cs="宋体"/>
                <w:bCs/>
                <w:color w:val="000000"/>
                <w:kern w:val="0"/>
                <w:sz w:val="24"/>
                <w:szCs w:val="24"/>
                <w:lang w:bidi="ar"/>
              </w:rPr>
            </w:pPr>
            <w:r>
              <w:rPr>
                <w:rFonts w:hint="eastAsia" w:ascii="仿宋" w:hAnsi="仿宋" w:eastAsia="仿宋" w:cs="宋体"/>
                <w:bCs/>
                <w:color w:val="000000"/>
                <w:kern w:val="0"/>
                <w:sz w:val="24"/>
                <w:szCs w:val="24"/>
                <w:lang w:bidi="ar"/>
              </w:rPr>
              <w:t>序号</w:t>
            </w:r>
          </w:p>
        </w:tc>
        <w:tc>
          <w:tcPr>
            <w:tcW w:w="0" w:type="auto"/>
            <w:tcBorders>
              <w:top w:val="single" w:color="auto" w:sz="4" w:space="0"/>
              <w:left w:val="nil"/>
              <w:bottom w:val="single" w:color="auto" w:sz="4" w:space="0"/>
              <w:right w:val="single" w:color="auto" w:sz="4" w:space="0"/>
            </w:tcBorders>
            <w:shd w:val="clear" w:color="auto" w:fill="auto"/>
            <w:vAlign w:val="center"/>
          </w:tcPr>
          <w:p w14:paraId="7C24A792">
            <w:pPr>
              <w:widowControl/>
              <w:spacing w:line="400" w:lineRule="exact"/>
              <w:jc w:val="center"/>
              <w:textAlignment w:val="center"/>
              <w:rPr>
                <w:rFonts w:ascii="仿宋" w:hAnsi="仿宋" w:eastAsia="仿宋" w:cs="宋体"/>
                <w:bCs/>
                <w:color w:val="000000"/>
                <w:kern w:val="0"/>
                <w:sz w:val="24"/>
                <w:szCs w:val="24"/>
                <w:lang w:bidi="ar"/>
              </w:rPr>
            </w:pPr>
            <w:r>
              <w:rPr>
                <w:rFonts w:hint="eastAsia" w:ascii="仿宋" w:hAnsi="仿宋" w:eastAsia="仿宋" w:cs="宋体"/>
                <w:bCs/>
                <w:color w:val="000000"/>
                <w:kern w:val="0"/>
                <w:sz w:val="24"/>
                <w:szCs w:val="24"/>
                <w:lang w:bidi="ar"/>
              </w:rPr>
              <w:t>货物名称</w:t>
            </w:r>
          </w:p>
        </w:tc>
        <w:tc>
          <w:tcPr>
            <w:tcW w:w="0" w:type="auto"/>
            <w:tcBorders>
              <w:top w:val="single" w:color="auto" w:sz="4" w:space="0"/>
              <w:left w:val="nil"/>
              <w:bottom w:val="single" w:color="auto" w:sz="4" w:space="0"/>
              <w:right w:val="single" w:color="auto" w:sz="4" w:space="0"/>
            </w:tcBorders>
            <w:shd w:val="clear" w:color="auto" w:fill="auto"/>
            <w:vAlign w:val="center"/>
          </w:tcPr>
          <w:p w14:paraId="70AA877F">
            <w:pPr>
              <w:widowControl/>
              <w:spacing w:line="400" w:lineRule="exact"/>
              <w:jc w:val="center"/>
              <w:textAlignment w:val="center"/>
              <w:rPr>
                <w:rFonts w:ascii="仿宋" w:hAnsi="仿宋" w:eastAsia="仿宋" w:cs="宋体"/>
                <w:bCs/>
                <w:color w:val="000000"/>
                <w:kern w:val="0"/>
                <w:sz w:val="24"/>
                <w:szCs w:val="24"/>
                <w:lang w:bidi="ar"/>
              </w:rPr>
            </w:pPr>
            <w:r>
              <w:rPr>
                <w:rFonts w:hint="eastAsia" w:ascii="仿宋" w:hAnsi="仿宋" w:eastAsia="仿宋" w:cs="宋体"/>
                <w:bCs/>
                <w:color w:val="000000"/>
                <w:kern w:val="0"/>
                <w:sz w:val="24"/>
                <w:szCs w:val="24"/>
                <w:lang w:bidi="ar"/>
              </w:rPr>
              <w:t>技术参数</w:t>
            </w:r>
          </w:p>
        </w:tc>
        <w:tc>
          <w:tcPr>
            <w:tcW w:w="0" w:type="auto"/>
            <w:tcBorders>
              <w:top w:val="single" w:color="auto" w:sz="4" w:space="0"/>
              <w:left w:val="nil"/>
              <w:bottom w:val="single" w:color="auto" w:sz="4" w:space="0"/>
              <w:right w:val="single" w:color="auto" w:sz="4" w:space="0"/>
            </w:tcBorders>
            <w:shd w:val="clear" w:color="auto" w:fill="auto"/>
            <w:vAlign w:val="center"/>
          </w:tcPr>
          <w:p w14:paraId="79F13AF1">
            <w:pPr>
              <w:widowControl/>
              <w:spacing w:line="400" w:lineRule="exact"/>
              <w:jc w:val="center"/>
              <w:textAlignment w:val="center"/>
              <w:rPr>
                <w:rFonts w:ascii="仿宋" w:hAnsi="仿宋" w:eastAsia="仿宋" w:cs="宋体"/>
                <w:bCs/>
                <w:color w:val="000000"/>
                <w:kern w:val="0"/>
                <w:sz w:val="24"/>
                <w:szCs w:val="24"/>
                <w:lang w:bidi="ar"/>
              </w:rPr>
            </w:pPr>
            <w:r>
              <w:rPr>
                <w:rFonts w:hint="eastAsia" w:ascii="仿宋" w:hAnsi="仿宋" w:eastAsia="仿宋" w:cs="宋体"/>
                <w:bCs/>
                <w:color w:val="000000"/>
                <w:kern w:val="0"/>
                <w:sz w:val="24"/>
                <w:szCs w:val="24"/>
                <w:lang w:bidi="ar"/>
              </w:rPr>
              <w:t>单位</w:t>
            </w:r>
          </w:p>
        </w:tc>
        <w:tc>
          <w:tcPr>
            <w:tcW w:w="0" w:type="auto"/>
            <w:tcBorders>
              <w:top w:val="single" w:color="auto" w:sz="4" w:space="0"/>
              <w:left w:val="nil"/>
              <w:bottom w:val="single" w:color="auto" w:sz="4" w:space="0"/>
              <w:right w:val="single" w:color="auto" w:sz="4" w:space="0"/>
            </w:tcBorders>
            <w:shd w:val="clear" w:color="auto" w:fill="auto"/>
            <w:vAlign w:val="center"/>
          </w:tcPr>
          <w:p w14:paraId="6CF7B51A">
            <w:pPr>
              <w:widowControl/>
              <w:spacing w:line="400" w:lineRule="exact"/>
              <w:jc w:val="center"/>
              <w:textAlignment w:val="center"/>
              <w:rPr>
                <w:rFonts w:ascii="仿宋" w:hAnsi="仿宋" w:eastAsia="仿宋" w:cs="宋体"/>
                <w:bCs/>
                <w:color w:val="000000"/>
                <w:kern w:val="0"/>
                <w:sz w:val="24"/>
                <w:szCs w:val="24"/>
                <w:lang w:bidi="ar"/>
              </w:rPr>
            </w:pPr>
            <w:r>
              <w:rPr>
                <w:rFonts w:hint="eastAsia" w:ascii="仿宋" w:hAnsi="仿宋" w:eastAsia="仿宋" w:cs="宋体"/>
                <w:bCs/>
                <w:color w:val="000000"/>
                <w:kern w:val="0"/>
                <w:sz w:val="24"/>
                <w:szCs w:val="24"/>
                <w:lang w:bidi="ar"/>
              </w:rPr>
              <w:t>数量</w:t>
            </w:r>
          </w:p>
        </w:tc>
      </w:tr>
      <w:tr w14:paraId="54095A12">
        <w:tblPrEx>
          <w:tblCellMar>
            <w:top w:w="0" w:type="dxa"/>
            <w:left w:w="108" w:type="dxa"/>
            <w:bottom w:w="0" w:type="dxa"/>
            <w:right w:w="108" w:type="dxa"/>
          </w:tblCellMar>
        </w:tblPrEx>
        <w:trPr>
          <w:trHeight w:val="400" w:hRule="atLeast"/>
        </w:trPr>
        <w:tc>
          <w:tcPr>
            <w:tcW w:w="458" w:type="dxa"/>
            <w:tcBorders>
              <w:top w:val="single" w:color="auto" w:sz="4" w:space="0"/>
              <w:left w:val="single" w:color="auto" w:sz="4" w:space="0"/>
              <w:bottom w:val="single" w:color="auto" w:sz="4" w:space="0"/>
              <w:right w:val="single" w:color="auto" w:sz="4" w:space="0"/>
            </w:tcBorders>
            <w:shd w:val="clear" w:color="auto" w:fill="auto"/>
            <w:vAlign w:val="center"/>
          </w:tcPr>
          <w:p w14:paraId="32A0BAB4">
            <w:r>
              <w:rPr>
                <w:rFonts w:hint="eastAsia"/>
              </w:rPr>
              <w:t>1</w:t>
            </w:r>
          </w:p>
        </w:tc>
        <w:tc>
          <w:tcPr>
            <w:tcW w:w="821" w:type="dxa"/>
            <w:tcBorders>
              <w:top w:val="single" w:color="auto" w:sz="4" w:space="0"/>
              <w:left w:val="single" w:color="auto" w:sz="4" w:space="0"/>
              <w:bottom w:val="single" w:color="auto" w:sz="4" w:space="0"/>
              <w:right w:val="single" w:color="auto" w:sz="4" w:space="0"/>
            </w:tcBorders>
            <w:shd w:val="clear" w:color="auto" w:fill="auto"/>
            <w:vAlign w:val="center"/>
          </w:tcPr>
          <w:p w14:paraId="71F9FE07">
            <w:r>
              <w:rPr>
                <w:rFonts w:hint="eastAsia"/>
              </w:rPr>
              <w:t>98寸会议大屏</w:t>
            </w:r>
          </w:p>
        </w:tc>
        <w:tc>
          <w:tcPr>
            <w:tcW w:w="6091" w:type="dxa"/>
            <w:tcBorders>
              <w:top w:val="single" w:color="auto" w:sz="4" w:space="0"/>
              <w:left w:val="single" w:color="auto" w:sz="4" w:space="0"/>
              <w:bottom w:val="single" w:color="auto" w:sz="4" w:space="0"/>
              <w:right w:val="single" w:color="auto" w:sz="4" w:space="0"/>
            </w:tcBorders>
            <w:shd w:val="clear" w:color="auto" w:fill="auto"/>
            <w:vAlign w:val="center"/>
          </w:tcPr>
          <w:p w14:paraId="482BF834">
            <w:r>
              <w:rPr>
                <w:rFonts w:hint="eastAsia"/>
              </w:rPr>
              <w:t>1、采用安全一体化设计，全金属外壳，散热性能良好，镁铝合金表面采用阳极氧化工艺处理，圆弧角防撞设计，表面无尖锐边缘，确保使用安全，外部无任何可见内部功能模块的连接线</w:t>
            </w:r>
            <w:r>
              <w:rPr>
                <w:rFonts w:hint="eastAsia"/>
              </w:rPr>
              <w:br w:type="textWrapping"/>
            </w:r>
            <w:r>
              <w:rPr>
                <w:rFonts w:hint="eastAsia"/>
              </w:rPr>
              <w:t>2、屏幕尺寸≥98英寸，显示比例16:9，物理分辨率≥3840×2160。CPU：≥4核；CPU工作主频：≥1.9GHz；内存（RAM）DDR4:：≥4GB；存储（ROM）eMMC：≥32GB；系统版本：≥Android13.0；</w:t>
            </w:r>
            <w:r>
              <w:rPr>
                <w:rFonts w:hint="eastAsia"/>
              </w:rPr>
              <w:br w:type="textWrapping"/>
            </w:r>
            <w:r>
              <w:rPr>
                <w:rFonts w:hint="eastAsia"/>
              </w:rPr>
              <w:t>3、亮度≥350cd/m²，对比度≥1200:1，视角（H/V）：水平≥178°，垂直≥178°</w:t>
            </w:r>
            <w:r>
              <w:rPr>
                <w:rFonts w:hint="eastAsia"/>
              </w:rPr>
              <w:br w:type="textWrapping"/>
            </w:r>
            <w:r>
              <w:rPr>
                <w:rFonts w:hint="eastAsia"/>
              </w:rPr>
              <w:t>4、非接触式红外感应技术，支持≥40点触控，≥20点书写；触摸精度（mm）≤±1；响应速度（ms）≤5；触摸工艺：红外触摸</w:t>
            </w:r>
            <w:r>
              <w:rPr>
                <w:rFonts w:hint="eastAsia"/>
              </w:rPr>
              <w:br w:type="textWrapping"/>
            </w:r>
            <w:r>
              <w:rPr>
                <w:rFonts w:hint="eastAsia"/>
              </w:rPr>
              <w:t>5、内置双频单WIFI5模块、扬声器，内置≥4800万像素摄像机，摄像头视场角:121°/103.2°/69.7°（D/H/V）；</w:t>
            </w:r>
            <w:r>
              <w:rPr>
                <w:rFonts w:hint="eastAsia"/>
              </w:rPr>
              <w:br w:type="textWrapping"/>
            </w:r>
            <w:r>
              <w:rPr>
                <w:rFonts w:hint="eastAsia"/>
              </w:rPr>
              <w:t>6、设备内置8阵列麦克风，支持12m拾音；</w:t>
            </w:r>
            <w:r>
              <w:rPr>
                <w:rFonts w:hint="eastAsia"/>
              </w:rPr>
              <w:br w:type="textWrapping"/>
            </w:r>
            <w:r>
              <w:rPr>
                <w:rFonts w:hint="eastAsia"/>
              </w:rPr>
              <w:t>7、★屏幕采用零贴合工艺，OC玻璃与钢化玻璃贴合距离≤0.8mm，图像显示清晰，画面显示效果优；</w:t>
            </w:r>
            <w:r>
              <w:rPr>
                <w:rFonts w:hint="eastAsia"/>
              </w:rPr>
              <w:br w:type="textWrapping"/>
            </w:r>
            <w:r>
              <w:rPr>
                <w:rFonts w:hint="eastAsia"/>
              </w:rPr>
              <w:t>8、★视频接口：HDMIIN*2（配合Type-C扩展坞可实现3个HDMIIN）、AVIN*2、AVOUT*1。</w:t>
            </w:r>
            <w:r>
              <w:rPr>
                <w:rFonts w:hint="eastAsia"/>
              </w:rPr>
              <w:br w:type="textWrapping"/>
            </w:r>
            <w:r>
              <w:rPr>
                <w:rFonts w:hint="eastAsia"/>
              </w:rPr>
              <w:t>9、整机采用OPS插槽兼容性设计，可通过自带的螺丝固定国际标准尺寸和国内标准尺寸两种OPS电脑，支持标准协议接口。提供封面具有CMA和CNAS标识的检测报告复印件并加盖原厂公章为证。</w:t>
            </w:r>
            <w:r>
              <w:rPr>
                <w:rFonts w:hint="eastAsia"/>
              </w:rPr>
              <w:br w:type="textWrapping"/>
            </w:r>
            <w:r>
              <w:rPr>
                <w:rFonts w:hint="eastAsia"/>
              </w:rPr>
              <w:t>10、含移动支架1个、智能笔1个、4K无线投屏器一套。</w:t>
            </w:r>
          </w:p>
        </w:tc>
        <w:tc>
          <w:tcPr>
            <w:tcW w:w="457" w:type="dxa"/>
            <w:tcBorders>
              <w:top w:val="single" w:color="auto" w:sz="4" w:space="0"/>
              <w:left w:val="single" w:color="auto" w:sz="4" w:space="0"/>
              <w:bottom w:val="single" w:color="auto" w:sz="4" w:space="0"/>
              <w:right w:val="single" w:color="auto" w:sz="4" w:space="0"/>
            </w:tcBorders>
            <w:shd w:val="clear" w:color="auto" w:fill="auto"/>
            <w:vAlign w:val="center"/>
          </w:tcPr>
          <w:p w14:paraId="58A444B9">
            <w:r>
              <w:rPr>
                <w:rFonts w:hint="eastAsia"/>
              </w:rPr>
              <w:t>台</w:t>
            </w:r>
          </w:p>
        </w:tc>
        <w:tc>
          <w:tcPr>
            <w:tcW w:w="695" w:type="dxa"/>
            <w:tcBorders>
              <w:top w:val="single" w:color="auto" w:sz="4" w:space="0"/>
              <w:left w:val="single" w:color="auto" w:sz="4" w:space="0"/>
              <w:bottom w:val="single" w:color="auto" w:sz="4" w:space="0"/>
              <w:right w:val="single" w:color="auto" w:sz="4" w:space="0"/>
            </w:tcBorders>
            <w:shd w:val="clear" w:color="auto" w:fill="auto"/>
            <w:vAlign w:val="center"/>
          </w:tcPr>
          <w:p w14:paraId="3AC8094A">
            <w:r>
              <w:rPr>
                <w:rFonts w:hint="eastAsia"/>
              </w:rPr>
              <w:t>1</w:t>
            </w:r>
          </w:p>
        </w:tc>
      </w:tr>
      <w:tr w14:paraId="1E78EB42">
        <w:tblPrEx>
          <w:tblCellMar>
            <w:top w:w="0" w:type="dxa"/>
            <w:left w:w="108" w:type="dxa"/>
            <w:bottom w:w="0" w:type="dxa"/>
            <w:right w:w="108" w:type="dxa"/>
          </w:tblCellMar>
        </w:tblPrEx>
        <w:trPr>
          <w:trHeight w:val="607" w:hRule="atLeast"/>
        </w:trPr>
        <w:tc>
          <w:tcPr>
            <w:tcW w:w="458" w:type="dxa"/>
            <w:tcBorders>
              <w:top w:val="single" w:color="auto" w:sz="4" w:space="0"/>
              <w:left w:val="single" w:color="auto" w:sz="4" w:space="0"/>
              <w:bottom w:val="single" w:color="auto" w:sz="4" w:space="0"/>
              <w:right w:val="single" w:color="auto" w:sz="4" w:space="0"/>
            </w:tcBorders>
            <w:shd w:val="clear" w:color="auto" w:fill="auto"/>
            <w:vAlign w:val="center"/>
          </w:tcPr>
          <w:p w14:paraId="7BA83E41">
            <w:r>
              <w:rPr>
                <w:rFonts w:hint="eastAsia"/>
              </w:rPr>
              <w:t>2</w:t>
            </w:r>
          </w:p>
        </w:tc>
        <w:tc>
          <w:tcPr>
            <w:tcW w:w="821" w:type="dxa"/>
            <w:tcBorders>
              <w:top w:val="single" w:color="auto" w:sz="4" w:space="0"/>
              <w:left w:val="single" w:color="auto" w:sz="4" w:space="0"/>
              <w:bottom w:val="single" w:color="auto" w:sz="4" w:space="0"/>
              <w:right w:val="single" w:color="auto" w:sz="4" w:space="0"/>
            </w:tcBorders>
            <w:shd w:val="clear" w:color="auto" w:fill="auto"/>
            <w:vAlign w:val="center"/>
          </w:tcPr>
          <w:p w14:paraId="39915B27">
            <w:r>
              <w:rPr>
                <w:rFonts w:hint="eastAsia"/>
              </w:rPr>
              <w:t>模拟调音台</w:t>
            </w:r>
          </w:p>
        </w:tc>
        <w:tc>
          <w:tcPr>
            <w:tcW w:w="6091" w:type="dxa"/>
            <w:tcBorders>
              <w:top w:val="single" w:color="auto" w:sz="4" w:space="0"/>
              <w:left w:val="single" w:color="auto" w:sz="4" w:space="0"/>
              <w:bottom w:val="single" w:color="auto" w:sz="4" w:space="0"/>
              <w:right w:val="single" w:color="auto" w:sz="4" w:space="0"/>
            </w:tcBorders>
            <w:shd w:val="clear" w:color="auto" w:fill="auto"/>
            <w:vAlign w:val="center"/>
          </w:tcPr>
          <w:p w14:paraId="5AABE798">
            <w:r>
              <w:rPr>
                <w:rFonts w:hint="eastAsia"/>
              </w:rPr>
              <w:t>1、具备4路单声道4组立体声带效果12路输入</w:t>
            </w:r>
            <w:r>
              <w:rPr>
                <w:rFonts w:hint="eastAsia"/>
              </w:rPr>
              <w:br w:type="textWrapping"/>
            </w:r>
            <w:r>
              <w:rPr>
                <w:rFonts w:hint="eastAsia"/>
              </w:rPr>
              <w:t>2、单声/麦克风输入通道上具备增益；</w:t>
            </w:r>
            <w:r>
              <w:rPr>
                <w:rFonts w:hint="eastAsia"/>
              </w:rPr>
              <w:br w:type="textWrapping"/>
            </w:r>
            <w:r>
              <w:rPr>
                <w:rFonts w:hint="eastAsia"/>
              </w:rPr>
              <w:t>3、D/A转换器：24bit</w:t>
            </w:r>
            <w:r>
              <w:rPr>
                <w:rFonts w:hint="eastAsia"/>
              </w:rPr>
              <w:br w:type="textWrapping"/>
            </w:r>
            <w:r>
              <w:rPr>
                <w:rFonts w:hint="eastAsia"/>
              </w:rPr>
              <w:t>4、.幻象电源：48V；</w:t>
            </w:r>
            <w:r>
              <w:rPr>
                <w:rFonts w:hint="eastAsia"/>
              </w:rPr>
              <w:br w:type="textWrapping"/>
            </w:r>
            <w:r>
              <w:rPr>
                <w:rFonts w:hint="eastAsia"/>
              </w:rPr>
              <w:t>5、具备8个6.3mm立体声输入通道；</w:t>
            </w:r>
            <w:r>
              <w:rPr>
                <w:rFonts w:hint="eastAsia"/>
              </w:rPr>
              <w:br w:type="textWrapping"/>
            </w:r>
            <w:r>
              <w:rPr>
                <w:rFonts w:hint="eastAsia"/>
              </w:rPr>
              <w:t>6、频响范围：10Hz-</w:t>
            </w:r>
            <w:r>
              <w:t>-</w:t>
            </w:r>
            <w:r>
              <w:rPr>
                <w:rFonts w:hint="eastAsia"/>
              </w:rPr>
              <w:t>200KHz:</w:t>
            </w:r>
            <w:r>
              <w:rPr>
                <w:rFonts w:hint="eastAsia"/>
              </w:rPr>
              <w:br w:type="textWrapping"/>
            </w:r>
            <w:r>
              <w:rPr>
                <w:rFonts w:hint="eastAsia"/>
              </w:rPr>
              <w:t>7、均衡器：高音：+/-15dB@12kHz，中音：+/-12dB@2.5kHz，低音：+/-15dB@80Hz</w:t>
            </w:r>
            <w:r>
              <w:rPr>
                <w:rFonts w:hint="eastAsia"/>
              </w:rPr>
              <w:br w:type="textWrapping"/>
            </w:r>
            <w:r>
              <w:rPr>
                <w:rFonts w:hint="eastAsia"/>
              </w:rPr>
              <w:t>8、最大输出电平：+22dBu:</w:t>
            </w:r>
            <w:r>
              <w:rPr>
                <w:rFonts w:hint="eastAsia"/>
              </w:rPr>
              <w:br w:type="textWrapping"/>
            </w:r>
            <w:r>
              <w:rPr>
                <w:rFonts w:hint="eastAsia"/>
              </w:rPr>
              <w:t>9、最大输入电平：+30dBu,Gain@+10dB:</w:t>
            </w:r>
            <w:r>
              <w:rPr>
                <w:rFonts w:hint="eastAsia"/>
              </w:rPr>
              <w:br w:type="textWrapping"/>
            </w:r>
            <w:r>
              <w:rPr>
                <w:rFonts w:hint="eastAsia"/>
              </w:rPr>
              <w:t>10、.输入阻抗：麦克风：2.6K2,平衡式；立体声：20K,平衡式；辅助：20K0,平衡式；录音：24K0,平衡式；</w:t>
            </w:r>
            <w:r>
              <w:rPr>
                <w:rFonts w:hint="eastAsia"/>
              </w:rPr>
              <w:br w:type="textWrapping"/>
            </w:r>
            <w:r>
              <w:rPr>
                <w:rFonts w:hint="eastAsia"/>
              </w:rPr>
              <w:t>11、输出阻抗：主输出：2402，平衡式，1202，非平衡式；辅助：1202，平衡式：录音：1K2,平衔式；耳机：250，平衡式。</w:t>
            </w:r>
          </w:p>
        </w:tc>
        <w:tc>
          <w:tcPr>
            <w:tcW w:w="457" w:type="dxa"/>
            <w:tcBorders>
              <w:top w:val="single" w:color="auto" w:sz="4" w:space="0"/>
              <w:left w:val="single" w:color="auto" w:sz="4" w:space="0"/>
              <w:bottom w:val="single" w:color="auto" w:sz="4" w:space="0"/>
              <w:right w:val="single" w:color="auto" w:sz="4" w:space="0"/>
            </w:tcBorders>
            <w:shd w:val="clear" w:color="auto" w:fill="auto"/>
            <w:vAlign w:val="center"/>
          </w:tcPr>
          <w:p w14:paraId="59268118">
            <w:r>
              <w:rPr>
                <w:rFonts w:hint="eastAsia"/>
              </w:rPr>
              <w:t>台</w:t>
            </w:r>
          </w:p>
        </w:tc>
        <w:tc>
          <w:tcPr>
            <w:tcW w:w="695" w:type="dxa"/>
            <w:tcBorders>
              <w:top w:val="single" w:color="auto" w:sz="4" w:space="0"/>
              <w:left w:val="single" w:color="auto" w:sz="4" w:space="0"/>
              <w:bottom w:val="single" w:color="auto" w:sz="4" w:space="0"/>
              <w:right w:val="single" w:color="auto" w:sz="4" w:space="0"/>
            </w:tcBorders>
            <w:shd w:val="clear" w:color="auto" w:fill="auto"/>
            <w:vAlign w:val="center"/>
          </w:tcPr>
          <w:p w14:paraId="13DDF527">
            <w:r>
              <w:rPr>
                <w:rFonts w:hint="eastAsia"/>
              </w:rPr>
              <w:t>1</w:t>
            </w:r>
          </w:p>
        </w:tc>
      </w:tr>
      <w:tr w14:paraId="23888EDD">
        <w:tblPrEx>
          <w:tblCellMar>
            <w:top w:w="0" w:type="dxa"/>
            <w:left w:w="108" w:type="dxa"/>
            <w:bottom w:w="0" w:type="dxa"/>
            <w:right w:w="108" w:type="dxa"/>
          </w:tblCellMar>
        </w:tblPrEx>
        <w:trPr>
          <w:trHeight w:val="3537" w:hRule="atLeast"/>
        </w:trPr>
        <w:tc>
          <w:tcPr>
            <w:tcW w:w="458" w:type="dxa"/>
            <w:tcBorders>
              <w:top w:val="single" w:color="auto" w:sz="4" w:space="0"/>
              <w:left w:val="single" w:color="auto" w:sz="4" w:space="0"/>
              <w:bottom w:val="single" w:color="auto" w:sz="4" w:space="0"/>
              <w:right w:val="single" w:color="auto" w:sz="4" w:space="0"/>
            </w:tcBorders>
            <w:shd w:val="clear" w:color="auto" w:fill="auto"/>
            <w:vAlign w:val="center"/>
          </w:tcPr>
          <w:p w14:paraId="5D6061DB">
            <w:r>
              <w:rPr>
                <w:rFonts w:hint="eastAsia"/>
              </w:rPr>
              <w:t>3</w:t>
            </w:r>
          </w:p>
        </w:tc>
        <w:tc>
          <w:tcPr>
            <w:tcW w:w="821" w:type="dxa"/>
            <w:tcBorders>
              <w:top w:val="single" w:color="auto" w:sz="4" w:space="0"/>
              <w:left w:val="single" w:color="auto" w:sz="4" w:space="0"/>
              <w:bottom w:val="single" w:color="auto" w:sz="4" w:space="0"/>
              <w:right w:val="single" w:color="auto" w:sz="4" w:space="0"/>
            </w:tcBorders>
            <w:shd w:val="clear" w:color="auto" w:fill="auto"/>
            <w:vAlign w:val="center"/>
          </w:tcPr>
          <w:p w14:paraId="2CFC2AA0">
            <w:r>
              <w:rPr>
                <w:rFonts w:hint="eastAsia"/>
              </w:rPr>
              <w:t>有线会议话筒</w:t>
            </w:r>
          </w:p>
        </w:tc>
        <w:tc>
          <w:tcPr>
            <w:tcW w:w="6091" w:type="dxa"/>
            <w:tcBorders>
              <w:top w:val="single" w:color="auto" w:sz="4" w:space="0"/>
              <w:left w:val="single" w:color="auto" w:sz="4" w:space="0"/>
              <w:bottom w:val="single" w:color="auto" w:sz="4" w:space="0"/>
              <w:right w:val="single" w:color="auto" w:sz="4" w:space="0"/>
            </w:tcBorders>
            <w:shd w:val="clear" w:color="auto" w:fill="auto"/>
            <w:vAlign w:val="center"/>
          </w:tcPr>
          <w:p w14:paraId="4913331D">
            <w:r>
              <w:rPr>
                <w:rFonts w:hint="eastAsia"/>
              </w:rPr>
              <w:t>1、拾音咪头:14mm直径镀金电容咪头*1</w:t>
            </w:r>
            <w:r>
              <w:rPr>
                <w:rFonts w:hint="eastAsia"/>
              </w:rPr>
              <w:br w:type="textWrapping"/>
            </w:r>
            <w:r>
              <w:rPr>
                <w:rFonts w:hint="eastAsia"/>
              </w:rPr>
              <w:t>2、频率效应:30Hz—20KHz</w:t>
            </w:r>
            <w:r>
              <w:rPr>
                <w:rFonts w:hint="eastAsia"/>
              </w:rPr>
              <w:br w:type="textWrapping"/>
            </w:r>
            <w:r>
              <w:rPr>
                <w:rFonts w:hint="eastAsia"/>
              </w:rPr>
              <w:t>3、灵敏度:-40dB±2dB</w:t>
            </w:r>
            <w:r>
              <w:rPr>
                <w:rFonts w:hint="eastAsia"/>
              </w:rPr>
              <w:br w:type="textWrapping"/>
            </w:r>
            <w:r>
              <w:rPr>
                <w:rFonts w:hint="eastAsia"/>
              </w:rPr>
              <w:t>4、话筒杆:鹅颈话筒杆</w:t>
            </w:r>
            <w:r>
              <w:rPr>
                <w:rFonts w:hint="eastAsia"/>
              </w:rPr>
              <w:br w:type="textWrapping"/>
            </w:r>
            <w:r>
              <w:rPr>
                <w:rFonts w:hint="eastAsia"/>
              </w:rPr>
              <w:t>5、信噪比:&gt;85dB</w:t>
            </w:r>
            <w:r>
              <w:rPr>
                <w:rFonts w:hint="eastAsia"/>
              </w:rPr>
              <w:br w:type="textWrapping"/>
            </w:r>
            <w:r>
              <w:rPr>
                <w:rFonts w:hint="eastAsia"/>
              </w:rPr>
              <w:t>6、输出阻抗:200Ω</w:t>
            </w:r>
            <w:r>
              <w:rPr>
                <w:rFonts w:hint="eastAsia"/>
              </w:rPr>
              <w:br w:type="textWrapping"/>
            </w:r>
            <w:r>
              <w:rPr>
                <w:rFonts w:hint="eastAsia"/>
              </w:rPr>
              <w:t>7、最大声压级:125dB</w:t>
            </w:r>
            <w:r>
              <w:rPr>
                <w:rFonts w:hint="eastAsia"/>
              </w:rPr>
              <w:br w:type="textWrapping"/>
            </w:r>
            <w:r>
              <w:rPr>
                <w:rFonts w:hint="eastAsia"/>
              </w:rPr>
              <w:t>8、等效噪音级:16dB</w:t>
            </w:r>
            <w:r>
              <w:rPr>
                <w:rFonts w:hint="eastAsia"/>
              </w:rPr>
              <w:br w:type="textWrapping"/>
            </w:r>
            <w:r>
              <w:rPr>
                <w:rFonts w:hint="eastAsia"/>
              </w:rPr>
              <w:t>9、工作电压:48V</w:t>
            </w:r>
            <w:r>
              <w:rPr>
                <w:rFonts w:hint="eastAsia"/>
              </w:rPr>
              <w:br w:type="textWrapping"/>
            </w:r>
            <w:r>
              <w:rPr>
                <w:rFonts w:hint="eastAsia"/>
              </w:rPr>
              <w:t>10、接口:卡农公头</w:t>
            </w:r>
            <w:r>
              <w:rPr>
                <w:rFonts w:hint="eastAsia"/>
              </w:rPr>
              <w:br w:type="textWrapping"/>
            </w:r>
            <w:r>
              <w:rPr>
                <w:rFonts w:hint="eastAsia"/>
              </w:rPr>
              <w:t>11、外壳材质:拾音腔体铝合金，底座ABS</w:t>
            </w:r>
          </w:p>
        </w:tc>
        <w:tc>
          <w:tcPr>
            <w:tcW w:w="457" w:type="dxa"/>
            <w:tcBorders>
              <w:top w:val="single" w:color="auto" w:sz="4" w:space="0"/>
              <w:left w:val="single" w:color="auto" w:sz="4" w:space="0"/>
              <w:bottom w:val="single" w:color="auto" w:sz="4" w:space="0"/>
              <w:right w:val="single" w:color="auto" w:sz="4" w:space="0"/>
            </w:tcBorders>
            <w:shd w:val="clear" w:color="auto" w:fill="auto"/>
            <w:vAlign w:val="center"/>
          </w:tcPr>
          <w:p w14:paraId="7422FFAC">
            <w:r>
              <w:rPr>
                <w:rFonts w:hint="eastAsia"/>
              </w:rPr>
              <w:t>台</w:t>
            </w:r>
          </w:p>
        </w:tc>
        <w:tc>
          <w:tcPr>
            <w:tcW w:w="695" w:type="dxa"/>
            <w:tcBorders>
              <w:top w:val="single" w:color="auto" w:sz="4" w:space="0"/>
              <w:left w:val="single" w:color="auto" w:sz="4" w:space="0"/>
              <w:bottom w:val="single" w:color="auto" w:sz="4" w:space="0"/>
              <w:right w:val="single" w:color="auto" w:sz="4" w:space="0"/>
            </w:tcBorders>
            <w:shd w:val="clear" w:color="auto" w:fill="auto"/>
            <w:vAlign w:val="center"/>
          </w:tcPr>
          <w:p w14:paraId="1A966A1E">
            <w:r>
              <w:rPr>
                <w:rFonts w:hint="eastAsia"/>
              </w:rPr>
              <w:t>2</w:t>
            </w:r>
          </w:p>
        </w:tc>
      </w:tr>
      <w:tr w14:paraId="3A2C85CD">
        <w:tblPrEx>
          <w:tblCellMar>
            <w:top w:w="0" w:type="dxa"/>
            <w:left w:w="108" w:type="dxa"/>
            <w:bottom w:w="0" w:type="dxa"/>
            <w:right w:w="108" w:type="dxa"/>
          </w:tblCellMar>
        </w:tblPrEx>
        <w:trPr>
          <w:trHeight w:val="5155" w:hRule="atLeast"/>
        </w:trPr>
        <w:tc>
          <w:tcPr>
            <w:tcW w:w="458" w:type="dxa"/>
            <w:tcBorders>
              <w:top w:val="single" w:color="auto" w:sz="4" w:space="0"/>
              <w:left w:val="single" w:color="auto" w:sz="4" w:space="0"/>
              <w:bottom w:val="single" w:color="auto" w:sz="4" w:space="0"/>
              <w:right w:val="single" w:color="auto" w:sz="4" w:space="0"/>
            </w:tcBorders>
            <w:shd w:val="clear" w:color="auto" w:fill="auto"/>
            <w:vAlign w:val="center"/>
          </w:tcPr>
          <w:p w14:paraId="3B5047D7">
            <w:r>
              <w:rPr>
                <w:rFonts w:hint="eastAsia"/>
              </w:rPr>
              <w:t>4</w:t>
            </w:r>
          </w:p>
        </w:tc>
        <w:tc>
          <w:tcPr>
            <w:tcW w:w="821" w:type="dxa"/>
            <w:tcBorders>
              <w:top w:val="single" w:color="auto" w:sz="4" w:space="0"/>
              <w:left w:val="single" w:color="auto" w:sz="4" w:space="0"/>
              <w:bottom w:val="single" w:color="auto" w:sz="4" w:space="0"/>
              <w:right w:val="single" w:color="auto" w:sz="4" w:space="0"/>
            </w:tcBorders>
            <w:shd w:val="clear" w:color="auto" w:fill="auto"/>
            <w:vAlign w:val="center"/>
          </w:tcPr>
          <w:p w14:paraId="60FF3553">
            <w:r>
              <w:rPr>
                <w:rFonts w:hint="eastAsia"/>
              </w:rPr>
              <w:t>无线话筒（1拖2）</w:t>
            </w:r>
          </w:p>
        </w:tc>
        <w:tc>
          <w:tcPr>
            <w:tcW w:w="6091" w:type="dxa"/>
            <w:tcBorders>
              <w:top w:val="single" w:color="auto" w:sz="4" w:space="0"/>
              <w:left w:val="single" w:color="auto" w:sz="4" w:space="0"/>
              <w:bottom w:val="single" w:color="auto" w:sz="4" w:space="0"/>
              <w:right w:val="single" w:color="auto" w:sz="4" w:space="0"/>
            </w:tcBorders>
            <w:shd w:val="clear" w:color="auto" w:fill="auto"/>
            <w:vAlign w:val="center"/>
          </w:tcPr>
          <w:p w14:paraId="44332831">
            <w:r>
              <w:rPr>
                <w:rFonts w:hint="eastAsia"/>
              </w:rPr>
              <w:t>主机性能参数</w:t>
            </w:r>
            <w:r>
              <w:rPr>
                <w:rFonts w:hint="eastAsia"/>
              </w:rPr>
              <w:br w:type="textWrapping"/>
            </w:r>
            <w:r>
              <w:rPr>
                <w:rFonts w:hint="eastAsia"/>
              </w:rPr>
              <w:t>1、传输频段:668.5~698.5MHz</w:t>
            </w:r>
            <w:r>
              <w:rPr>
                <w:rFonts w:hint="eastAsia"/>
              </w:rPr>
              <w:br w:type="textWrapping"/>
            </w:r>
            <w:r>
              <w:rPr>
                <w:rFonts w:hint="eastAsia"/>
              </w:rPr>
              <w:t>2、调制方式:Pi/4DQPSK</w:t>
            </w:r>
            <w:r>
              <w:rPr>
                <w:rFonts w:hint="eastAsia"/>
              </w:rPr>
              <w:br w:type="textWrapping"/>
            </w:r>
            <w:r>
              <w:rPr>
                <w:rFonts w:hint="eastAsia"/>
              </w:rPr>
              <w:t>3、传输距离:70~100米</w:t>
            </w:r>
            <w:r>
              <w:rPr>
                <w:rFonts w:hint="eastAsia"/>
              </w:rPr>
              <w:br w:type="textWrapping"/>
            </w:r>
            <w:r>
              <w:rPr>
                <w:rFonts w:hint="eastAsia"/>
              </w:rPr>
              <w:t>4、占用带宽:&lt;200KHz</w:t>
            </w:r>
            <w:r>
              <w:rPr>
                <w:rFonts w:hint="eastAsia"/>
              </w:rPr>
              <w:br w:type="textWrapping"/>
            </w:r>
            <w:r>
              <w:rPr>
                <w:rFonts w:hint="eastAsia"/>
              </w:rPr>
              <w:t>5、频响:20Hz-20KHz</w:t>
            </w:r>
            <w:r>
              <w:rPr>
                <w:rFonts w:hint="eastAsia"/>
              </w:rPr>
              <w:br w:type="textWrapping"/>
            </w:r>
            <w:r>
              <w:rPr>
                <w:rFonts w:hint="eastAsia"/>
              </w:rPr>
              <w:t>6、传输时延:＜4ms</w:t>
            </w:r>
            <w:r>
              <w:rPr>
                <w:rFonts w:hint="eastAsia"/>
              </w:rPr>
              <w:br w:type="textWrapping"/>
            </w:r>
            <w:r>
              <w:rPr>
                <w:rFonts w:hint="eastAsia"/>
              </w:rPr>
              <w:t>手持话筒性能参数</w:t>
            </w:r>
            <w:r>
              <w:rPr>
                <w:rFonts w:hint="eastAsia"/>
              </w:rPr>
              <w:br w:type="textWrapping"/>
            </w:r>
            <w:r>
              <w:rPr>
                <w:rFonts w:hint="eastAsia"/>
              </w:rPr>
              <w:t>1、传输频段:668.5~698.5MHz</w:t>
            </w:r>
            <w:r>
              <w:rPr>
                <w:rFonts w:hint="eastAsia"/>
              </w:rPr>
              <w:br w:type="textWrapping"/>
            </w:r>
            <w:r>
              <w:rPr>
                <w:rFonts w:hint="eastAsia"/>
              </w:rPr>
              <w:t>2、调制方式:Pi/4DQPSK</w:t>
            </w:r>
            <w:r>
              <w:rPr>
                <w:rFonts w:hint="eastAsia"/>
              </w:rPr>
              <w:br w:type="textWrapping"/>
            </w:r>
            <w:r>
              <w:rPr>
                <w:rFonts w:hint="eastAsia"/>
              </w:rPr>
              <w:t>3、传输距离:&gt;70m</w:t>
            </w:r>
            <w:r>
              <w:rPr>
                <w:rFonts w:hint="eastAsia"/>
              </w:rPr>
              <w:br w:type="textWrapping"/>
            </w:r>
            <w:r>
              <w:rPr>
                <w:rFonts w:hint="eastAsia"/>
              </w:rPr>
              <w:t>4、频响:20Hz-20KHz</w:t>
            </w:r>
            <w:r>
              <w:rPr>
                <w:rFonts w:hint="eastAsia"/>
              </w:rPr>
              <w:br w:type="textWrapping"/>
            </w:r>
            <w:r>
              <w:rPr>
                <w:rFonts w:hint="eastAsia"/>
              </w:rPr>
              <w:t>5、传输时延:＜4ms</w:t>
            </w:r>
            <w:r>
              <w:rPr>
                <w:rFonts w:hint="eastAsia"/>
              </w:rPr>
              <w:br w:type="textWrapping"/>
            </w:r>
            <w:r>
              <w:rPr>
                <w:rFonts w:hint="eastAsia"/>
              </w:rPr>
              <w:t>6、咪头:动圈麦克风</w:t>
            </w:r>
            <w:r>
              <w:rPr>
                <w:rFonts w:hint="eastAsia"/>
              </w:rPr>
              <w:br w:type="textWrapping"/>
            </w:r>
            <w:r>
              <w:rPr>
                <w:rFonts w:hint="eastAsia"/>
              </w:rPr>
              <w:t>7、供电:AA5号电池(1.5V)*2</w:t>
            </w:r>
            <w:r>
              <w:rPr>
                <w:rFonts w:hint="eastAsia"/>
              </w:rPr>
              <w:br w:type="textWrapping"/>
            </w:r>
            <w:r>
              <w:rPr>
                <w:rFonts w:hint="eastAsia"/>
              </w:rPr>
              <w:t>8、续航能力:6h(AA5号电池</w:t>
            </w:r>
          </w:p>
        </w:tc>
        <w:tc>
          <w:tcPr>
            <w:tcW w:w="457" w:type="dxa"/>
            <w:tcBorders>
              <w:top w:val="single" w:color="auto" w:sz="4" w:space="0"/>
              <w:left w:val="single" w:color="auto" w:sz="4" w:space="0"/>
              <w:bottom w:val="single" w:color="auto" w:sz="4" w:space="0"/>
              <w:right w:val="single" w:color="auto" w:sz="4" w:space="0"/>
            </w:tcBorders>
            <w:shd w:val="clear" w:color="auto" w:fill="auto"/>
            <w:vAlign w:val="center"/>
          </w:tcPr>
          <w:p w14:paraId="765F9ED2">
            <w:r>
              <w:rPr>
                <w:rFonts w:hint="eastAsia"/>
              </w:rPr>
              <w:t>套</w:t>
            </w:r>
          </w:p>
        </w:tc>
        <w:tc>
          <w:tcPr>
            <w:tcW w:w="695" w:type="dxa"/>
            <w:tcBorders>
              <w:top w:val="single" w:color="auto" w:sz="4" w:space="0"/>
              <w:left w:val="single" w:color="auto" w:sz="4" w:space="0"/>
              <w:bottom w:val="single" w:color="auto" w:sz="4" w:space="0"/>
              <w:right w:val="single" w:color="auto" w:sz="4" w:space="0"/>
            </w:tcBorders>
            <w:shd w:val="clear" w:color="auto" w:fill="auto"/>
            <w:vAlign w:val="center"/>
          </w:tcPr>
          <w:p w14:paraId="7415B070">
            <w:r>
              <w:rPr>
                <w:rFonts w:hint="eastAsia"/>
              </w:rPr>
              <w:t>1</w:t>
            </w:r>
          </w:p>
        </w:tc>
      </w:tr>
      <w:tr w14:paraId="6C51A255">
        <w:tblPrEx>
          <w:tblCellMar>
            <w:top w:w="0" w:type="dxa"/>
            <w:left w:w="108" w:type="dxa"/>
            <w:bottom w:w="0" w:type="dxa"/>
            <w:right w:w="108" w:type="dxa"/>
          </w:tblCellMar>
        </w:tblPrEx>
        <w:trPr>
          <w:trHeight w:val="2689" w:hRule="atLeast"/>
        </w:trPr>
        <w:tc>
          <w:tcPr>
            <w:tcW w:w="458" w:type="dxa"/>
            <w:tcBorders>
              <w:top w:val="single" w:color="auto" w:sz="4" w:space="0"/>
              <w:left w:val="single" w:color="auto" w:sz="4" w:space="0"/>
              <w:bottom w:val="single" w:color="auto" w:sz="4" w:space="0"/>
              <w:right w:val="single" w:color="auto" w:sz="4" w:space="0"/>
            </w:tcBorders>
            <w:shd w:val="clear" w:color="auto" w:fill="auto"/>
            <w:vAlign w:val="center"/>
          </w:tcPr>
          <w:p w14:paraId="79A491E1">
            <w:r>
              <w:rPr>
                <w:rFonts w:hint="eastAsia"/>
              </w:rPr>
              <w:t>5</w:t>
            </w:r>
          </w:p>
        </w:tc>
        <w:tc>
          <w:tcPr>
            <w:tcW w:w="821" w:type="dxa"/>
            <w:tcBorders>
              <w:top w:val="single" w:color="auto" w:sz="4" w:space="0"/>
              <w:left w:val="single" w:color="auto" w:sz="4" w:space="0"/>
              <w:bottom w:val="single" w:color="auto" w:sz="4" w:space="0"/>
              <w:right w:val="single" w:color="auto" w:sz="4" w:space="0"/>
            </w:tcBorders>
            <w:shd w:val="clear" w:color="auto" w:fill="auto"/>
            <w:vAlign w:val="center"/>
          </w:tcPr>
          <w:p w14:paraId="4BD0BE61">
            <w:r>
              <w:rPr>
                <w:rFonts w:hint="eastAsia"/>
              </w:rPr>
              <w:t>配套音箱</w:t>
            </w:r>
          </w:p>
        </w:tc>
        <w:tc>
          <w:tcPr>
            <w:tcW w:w="6091" w:type="dxa"/>
            <w:tcBorders>
              <w:top w:val="single" w:color="auto" w:sz="4" w:space="0"/>
              <w:left w:val="single" w:color="auto" w:sz="4" w:space="0"/>
              <w:bottom w:val="single" w:color="auto" w:sz="4" w:space="0"/>
              <w:right w:val="single" w:color="auto" w:sz="4" w:space="0"/>
            </w:tcBorders>
            <w:shd w:val="clear" w:color="auto" w:fill="auto"/>
            <w:vAlign w:val="center"/>
          </w:tcPr>
          <w:p w14:paraId="6ABDB4D0">
            <w:r>
              <w:rPr>
                <w:rFonts w:hint="eastAsia"/>
              </w:rPr>
              <w:t>1、输出功率：8Ω2×150W，4Ω2×280W（峰值功率）</w:t>
            </w:r>
            <w:r>
              <w:rPr>
                <w:rFonts w:hint="eastAsia"/>
              </w:rPr>
              <w:br w:type="textWrapping"/>
            </w:r>
            <w:r>
              <w:rPr>
                <w:rFonts w:hint="eastAsia"/>
              </w:rPr>
              <w:t>2、总谐波失真：MIC接口&lt;0.3%，线路接口&lt;0.1%</w:t>
            </w:r>
            <w:r>
              <w:rPr>
                <w:rFonts w:hint="eastAsia"/>
              </w:rPr>
              <w:br w:type="textWrapping"/>
            </w:r>
            <w:r>
              <w:rPr>
                <w:rFonts w:hint="eastAsia"/>
              </w:rPr>
              <w:t>3、频率响应：20Hz-20KHz</w:t>
            </w:r>
            <w:r>
              <w:rPr>
                <w:rFonts w:hint="eastAsia"/>
              </w:rPr>
              <w:br w:type="textWrapping"/>
            </w:r>
            <w:r>
              <w:rPr>
                <w:rFonts w:hint="eastAsia"/>
              </w:rPr>
              <w:t>4、转换速度：100V/us</w:t>
            </w:r>
            <w:r>
              <w:rPr>
                <w:rFonts w:hint="eastAsia"/>
              </w:rPr>
              <w:br w:type="textWrapping"/>
            </w:r>
            <w:r>
              <w:rPr>
                <w:rFonts w:hint="eastAsia"/>
              </w:rPr>
              <w:t>5、阻尼系数：&gt;100</w:t>
            </w:r>
            <w:r>
              <w:rPr>
                <w:rFonts w:hint="eastAsia"/>
              </w:rPr>
              <w:br w:type="textWrapping"/>
            </w:r>
            <w:r>
              <w:rPr>
                <w:rFonts w:hint="eastAsia"/>
              </w:rPr>
              <w:t>6、输出连接：左右通道两组功率输出</w:t>
            </w:r>
            <w:r>
              <w:rPr>
                <w:rFonts w:hint="eastAsia"/>
              </w:rPr>
              <w:br w:type="textWrapping"/>
            </w:r>
            <w:r>
              <w:rPr>
                <w:rFonts w:hint="eastAsia"/>
              </w:rPr>
              <w:t>7、信噪比：MIC≥70dB，AUX≥90dB</w:t>
            </w:r>
            <w:r>
              <w:rPr>
                <w:rFonts w:hint="eastAsia"/>
              </w:rPr>
              <w:br w:type="textWrapping"/>
            </w:r>
            <w:r>
              <w:rPr>
                <w:rFonts w:hint="eastAsia"/>
              </w:rPr>
              <w:t>8、电压：100-240V</w:t>
            </w:r>
          </w:p>
        </w:tc>
        <w:tc>
          <w:tcPr>
            <w:tcW w:w="457" w:type="dxa"/>
            <w:tcBorders>
              <w:top w:val="single" w:color="auto" w:sz="4" w:space="0"/>
              <w:left w:val="single" w:color="auto" w:sz="4" w:space="0"/>
              <w:bottom w:val="single" w:color="auto" w:sz="4" w:space="0"/>
              <w:right w:val="single" w:color="auto" w:sz="4" w:space="0"/>
            </w:tcBorders>
            <w:shd w:val="clear" w:color="auto" w:fill="auto"/>
            <w:vAlign w:val="center"/>
          </w:tcPr>
          <w:p w14:paraId="278FC97B">
            <w:r>
              <w:rPr>
                <w:rFonts w:hint="eastAsia"/>
              </w:rPr>
              <w:t>台</w:t>
            </w:r>
          </w:p>
        </w:tc>
        <w:tc>
          <w:tcPr>
            <w:tcW w:w="695" w:type="dxa"/>
            <w:tcBorders>
              <w:top w:val="single" w:color="auto" w:sz="4" w:space="0"/>
              <w:left w:val="single" w:color="auto" w:sz="4" w:space="0"/>
              <w:bottom w:val="single" w:color="auto" w:sz="4" w:space="0"/>
              <w:right w:val="single" w:color="auto" w:sz="4" w:space="0"/>
            </w:tcBorders>
            <w:shd w:val="clear" w:color="auto" w:fill="auto"/>
            <w:vAlign w:val="center"/>
          </w:tcPr>
          <w:p w14:paraId="46C0D35F">
            <w:r>
              <w:rPr>
                <w:rFonts w:hint="eastAsia"/>
              </w:rPr>
              <w:t>2</w:t>
            </w:r>
          </w:p>
        </w:tc>
      </w:tr>
      <w:tr w14:paraId="5C19D9A8">
        <w:tblPrEx>
          <w:tblCellMar>
            <w:top w:w="0" w:type="dxa"/>
            <w:left w:w="108" w:type="dxa"/>
            <w:bottom w:w="0" w:type="dxa"/>
            <w:right w:w="108" w:type="dxa"/>
          </w:tblCellMar>
        </w:tblPrEx>
        <w:trPr>
          <w:trHeight w:val="1129" w:hRule="atLeast"/>
        </w:trPr>
        <w:tc>
          <w:tcPr>
            <w:tcW w:w="458" w:type="dxa"/>
            <w:tcBorders>
              <w:top w:val="single" w:color="auto" w:sz="4" w:space="0"/>
              <w:left w:val="single" w:color="auto" w:sz="4" w:space="0"/>
              <w:bottom w:val="single" w:color="auto" w:sz="4" w:space="0"/>
              <w:right w:val="single" w:color="auto" w:sz="4" w:space="0"/>
            </w:tcBorders>
            <w:shd w:val="clear" w:color="auto" w:fill="auto"/>
            <w:vAlign w:val="center"/>
          </w:tcPr>
          <w:p w14:paraId="21601EC3">
            <w:r>
              <w:rPr>
                <w:rFonts w:hint="eastAsia"/>
              </w:rPr>
              <w:t>6</w:t>
            </w:r>
          </w:p>
        </w:tc>
        <w:tc>
          <w:tcPr>
            <w:tcW w:w="821" w:type="dxa"/>
            <w:tcBorders>
              <w:top w:val="single" w:color="auto" w:sz="4" w:space="0"/>
              <w:left w:val="single" w:color="auto" w:sz="4" w:space="0"/>
              <w:bottom w:val="single" w:color="auto" w:sz="4" w:space="0"/>
              <w:right w:val="single" w:color="auto" w:sz="4" w:space="0"/>
            </w:tcBorders>
            <w:shd w:val="clear" w:color="auto" w:fill="auto"/>
            <w:vAlign w:val="center"/>
          </w:tcPr>
          <w:p w14:paraId="04A98B0E">
            <w:r>
              <w:rPr>
                <w:rFonts w:hint="eastAsia"/>
              </w:rPr>
              <w:t>相关</w:t>
            </w:r>
          </w:p>
          <w:p w14:paraId="11F51675">
            <w:r>
              <w:rPr>
                <w:rFonts w:hint="eastAsia"/>
              </w:rPr>
              <w:t>配件</w:t>
            </w:r>
          </w:p>
        </w:tc>
        <w:tc>
          <w:tcPr>
            <w:tcW w:w="6091" w:type="dxa"/>
            <w:tcBorders>
              <w:top w:val="single" w:color="auto" w:sz="4" w:space="0"/>
              <w:left w:val="single" w:color="auto" w:sz="4" w:space="0"/>
              <w:bottom w:val="single" w:color="auto" w:sz="4" w:space="0"/>
              <w:right w:val="single" w:color="auto" w:sz="4" w:space="0"/>
            </w:tcBorders>
            <w:shd w:val="clear" w:color="auto" w:fill="auto"/>
            <w:vAlign w:val="center"/>
          </w:tcPr>
          <w:p w14:paraId="74864321">
            <w:r>
              <w:rPr>
                <w:rFonts w:hint="eastAsia"/>
              </w:rPr>
              <w:t>国标铜芯动力电源线，6类国标网线，连接线、接头、插头等满足现场需要。</w:t>
            </w:r>
          </w:p>
        </w:tc>
        <w:tc>
          <w:tcPr>
            <w:tcW w:w="457" w:type="dxa"/>
            <w:tcBorders>
              <w:top w:val="single" w:color="auto" w:sz="4" w:space="0"/>
              <w:left w:val="single" w:color="auto" w:sz="4" w:space="0"/>
              <w:bottom w:val="single" w:color="auto" w:sz="4" w:space="0"/>
              <w:right w:val="single" w:color="auto" w:sz="4" w:space="0"/>
            </w:tcBorders>
            <w:shd w:val="clear" w:color="auto" w:fill="auto"/>
            <w:vAlign w:val="center"/>
          </w:tcPr>
          <w:p w14:paraId="4ECCEBB1">
            <w:r>
              <w:rPr>
                <w:rFonts w:hint="eastAsia"/>
              </w:rPr>
              <w:t>项</w:t>
            </w:r>
          </w:p>
        </w:tc>
        <w:tc>
          <w:tcPr>
            <w:tcW w:w="695" w:type="dxa"/>
            <w:tcBorders>
              <w:top w:val="single" w:color="auto" w:sz="4" w:space="0"/>
              <w:left w:val="single" w:color="auto" w:sz="4" w:space="0"/>
              <w:bottom w:val="single" w:color="auto" w:sz="4" w:space="0"/>
              <w:right w:val="single" w:color="auto" w:sz="4" w:space="0"/>
            </w:tcBorders>
            <w:shd w:val="clear" w:color="auto" w:fill="auto"/>
            <w:vAlign w:val="center"/>
          </w:tcPr>
          <w:p w14:paraId="03B32880">
            <w:r>
              <w:rPr>
                <w:rFonts w:hint="eastAsia"/>
              </w:rPr>
              <w:t>1</w:t>
            </w:r>
          </w:p>
        </w:tc>
      </w:tr>
    </w:tbl>
    <w:p w14:paraId="674459B5">
      <w:pPr>
        <w:spacing w:line="560" w:lineRule="exact"/>
        <w:ind w:firstLine="640" w:firstLineChars="200"/>
        <w:rPr>
          <w:rFonts w:ascii="方正仿宋_GB2312" w:hAnsi="方正仿宋_GB2312" w:eastAsia="方正仿宋_GB2312" w:cs="方正仿宋_GB2312"/>
          <w:bCs/>
          <w:sz w:val="32"/>
          <w:szCs w:val="32"/>
        </w:rPr>
      </w:pPr>
      <w:r>
        <w:rPr>
          <w:rFonts w:hint="eastAsia" w:ascii="方正仿宋_GB2312" w:hAnsi="方正仿宋_GB2312" w:eastAsia="方正仿宋_GB2312" w:cs="方正仿宋_GB2312"/>
          <w:bCs/>
          <w:sz w:val="32"/>
          <w:szCs w:val="32"/>
        </w:rPr>
        <w:t>标★号的设备参数是否满足,请提供佐证材料。</w:t>
      </w:r>
    </w:p>
    <w:p w14:paraId="4A2B0641">
      <w:pPr>
        <w:spacing w:line="560" w:lineRule="exact"/>
        <w:ind w:firstLine="643" w:firstLineChars="200"/>
        <w:outlineLvl w:val="1"/>
        <w:rPr>
          <w:rFonts w:ascii="仿宋" w:hAnsi="仿宋" w:eastAsia="仿宋" w:cs="仿宋"/>
          <w:b/>
          <w:sz w:val="32"/>
          <w:szCs w:val="32"/>
        </w:rPr>
      </w:pPr>
      <w:r>
        <w:rPr>
          <w:rFonts w:hint="eastAsia" w:ascii="仿宋" w:hAnsi="仿宋" w:eastAsia="仿宋" w:cs="仿宋"/>
          <w:b/>
          <w:sz w:val="32"/>
          <w:szCs w:val="32"/>
        </w:rPr>
        <w:t>五、商务要求</w:t>
      </w:r>
    </w:p>
    <w:p w14:paraId="1145DF21">
      <w:pPr>
        <w:spacing w:line="560" w:lineRule="exact"/>
        <w:ind w:firstLine="640" w:firstLineChars="200"/>
        <w:rPr>
          <w:rFonts w:ascii="方正仿宋_GB2312" w:hAnsi="方正仿宋_GB2312" w:eastAsia="方正仿宋_GB2312" w:cs="方正仿宋_GB2312"/>
          <w:bCs/>
          <w:sz w:val="32"/>
          <w:szCs w:val="32"/>
        </w:rPr>
      </w:pPr>
      <w:r>
        <w:rPr>
          <w:rFonts w:hint="eastAsia" w:ascii="方正仿宋_GB2312" w:hAnsi="方正仿宋_GB2312" w:eastAsia="方正仿宋_GB2312" w:cs="方正仿宋_GB2312"/>
          <w:bCs/>
          <w:sz w:val="32"/>
          <w:szCs w:val="32"/>
        </w:rPr>
        <w:t>1.供货及安装期限：合同工期为3</w:t>
      </w:r>
      <w:r>
        <w:rPr>
          <w:rFonts w:ascii="方正仿宋_GB2312" w:hAnsi="方正仿宋_GB2312" w:eastAsia="方正仿宋_GB2312" w:cs="方正仿宋_GB2312"/>
          <w:bCs/>
          <w:sz w:val="32"/>
          <w:szCs w:val="32"/>
        </w:rPr>
        <w:t>0</w:t>
      </w:r>
      <w:r>
        <w:rPr>
          <w:rFonts w:hint="eastAsia" w:ascii="方正仿宋_GB2312" w:hAnsi="方正仿宋_GB2312" w:eastAsia="方正仿宋_GB2312" w:cs="方正仿宋_GB2312"/>
          <w:bCs/>
          <w:sz w:val="32"/>
          <w:szCs w:val="32"/>
        </w:rPr>
        <w:t>日历天</w:t>
      </w:r>
    </w:p>
    <w:p w14:paraId="1948BBA1">
      <w:pPr>
        <w:spacing w:line="560" w:lineRule="exact"/>
        <w:ind w:firstLine="640" w:firstLineChars="200"/>
        <w:rPr>
          <w:rFonts w:ascii="方正仿宋_GB2312" w:hAnsi="方正仿宋_GB2312" w:eastAsia="方正仿宋_GB2312" w:cs="方正仿宋_GB2312"/>
          <w:bCs/>
          <w:sz w:val="32"/>
          <w:szCs w:val="32"/>
        </w:rPr>
      </w:pPr>
      <w:r>
        <w:rPr>
          <w:rFonts w:hint="eastAsia" w:ascii="方正仿宋_GB2312" w:hAnsi="方正仿宋_GB2312" w:eastAsia="方正仿宋_GB2312" w:cs="方正仿宋_GB2312"/>
          <w:bCs/>
          <w:sz w:val="32"/>
          <w:szCs w:val="32"/>
        </w:rPr>
        <w:t>2.供货及安装地点：安徽建筑大学紫云路校区</w:t>
      </w:r>
    </w:p>
    <w:p w14:paraId="459AEAAD">
      <w:pPr>
        <w:spacing w:line="560" w:lineRule="exact"/>
        <w:ind w:firstLine="640" w:firstLineChars="200"/>
        <w:rPr>
          <w:rFonts w:ascii="方正仿宋_GB2312" w:hAnsi="方正仿宋_GB2312" w:eastAsia="方正仿宋_GB2312" w:cs="方正仿宋_GB2312"/>
          <w:bCs/>
          <w:sz w:val="32"/>
          <w:szCs w:val="32"/>
        </w:rPr>
      </w:pPr>
      <w:r>
        <w:rPr>
          <w:rFonts w:hint="eastAsia" w:ascii="方正仿宋_GB2312" w:hAnsi="方正仿宋_GB2312" w:eastAsia="方正仿宋_GB2312" w:cs="方正仿宋_GB2312"/>
          <w:bCs/>
          <w:sz w:val="32"/>
          <w:szCs w:val="32"/>
        </w:rPr>
        <w:t>3.包装和运输：供货方免费包装，免费送货至现场并安装调试。</w:t>
      </w:r>
    </w:p>
    <w:p w14:paraId="3503F1AB">
      <w:pPr>
        <w:spacing w:line="560" w:lineRule="exact"/>
        <w:ind w:firstLine="640" w:firstLineChars="200"/>
        <w:rPr>
          <w:rFonts w:ascii="方正仿宋_GB2312" w:hAnsi="方正仿宋_GB2312" w:eastAsia="方正仿宋_GB2312" w:cs="方正仿宋_GB2312"/>
          <w:bCs/>
          <w:sz w:val="32"/>
          <w:szCs w:val="32"/>
        </w:rPr>
      </w:pPr>
      <w:r>
        <w:rPr>
          <w:rFonts w:ascii="方正仿宋_GB2312" w:hAnsi="方正仿宋_GB2312" w:eastAsia="方正仿宋_GB2312" w:cs="方正仿宋_GB2312"/>
          <w:bCs/>
          <w:sz w:val="32"/>
          <w:szCs w:val="32"/>
        </w:rPr>
        <w:t>4</w:t>
      </w:r>
      <w:r>
        <w:rPr>
          <w:rFonts w:hint="eastAsia" w:ascii="方正仿宋_GB2312" w:hAnsi="方正仿宋_GB2312" w:eastAsia="方正仿宋_GB2312" w:cs="方正仿宋_GB2312"/>
          <w:bCs/>
          <w:sz w:val="32"/>
          <w:szCs w:val="32"/>
        </w:rPr>
        <w:t>.付款条件（进度和方式）：项目整体验收合格后一次性支付合同款。</w:t>
      </w:r>
    </w:p>
    <w:p w14:paraId="5070EE36">
      <w:pPr>
        <w:spacing w:line="560" w:lineRule="exact"/>
        <w:ind w:firstLine="640" w:firstLineChars="200"/>
        <w:rPr>
          <w:rFonts w:ascii="方正仿宋_GB2312" w:hAnsi="方正仿宋_GB2312" w:eastAsia="方正仿宋_GB2312" w:cs="方正仿宋_GB2312"/>
          <w:bCs/>
          <w:sz w:val="32"/>
          <w:szCs w:val="32"/>
        </w:rPr>
      </w:pPr>
      <w:r>
        <w:rPr>
          <w:rFonts w:hint="eastAsia" w:ascii="方正仿宋_GB2312" w:hAnsi="方正仿宋_GB2312" w:eastAsia="方正仿宋_GB2312" w:cs="方正仿宋_GB2312"/>
          <w:bCs/>
          <w:sz w:val="32"/>
          <w:szCs w:val="32"/>
        </w:rPr>
        <w:t>5.售后服务、免费质保期：验收合格之日起三年</w:t>
      </w:r>
      <w:r>
        <w:rPr>
          <w:rFonts w:ascii="方正仿宋_GB2312" w:hAnsi="方正仿宋_GB2312" w:eastAsia="方正仿宋_GB2312" w:cs="方正仿宋_GB2312"/>
          <w:bCs/>
          <w:sz w:val="32"/>
          <w:szCs w:val="32"/>
        </w:rPr>
        <w:t>(整机质保)</w:t>
      </w:r>
      <w:r>
        <w:rPr>
          <w:rFonts w:hint="eastAsia" w:ascii="方正仿宋_GB2312" w:hAnsi="方正仿宋_GB2312" w:eastAsia="方正仿宋_GB2312" w:cs="方正仿宋_GB2312"/>
          <w:bCs/>
          <w:sz w:val="32"/>
          <w:szCs w:val="32"/>
        </w:rPr>
        <w:t>。日常保证1%电子屏模组备件在校。</w:t>
      </w:r>
    </w:p>
    <w:p w14:paraId="3704B0FA">
      <w:pPr>
        <w:spacing w:line="560" w:lineRule="exact"/>
        <w:ind w:firstLine="640" w:firstLineChars="200"/>
        <w:rPr>
          <w:rFonts w:ascii="方正仿宋_GB2312" w:hAnsi="方正仿宋_GB2312" w:eastAsia="方正仿宋_GB2312" w:cs="方正仿宋_GB2312"/>
          <w:bCs/>
          <w:sz w:val="32"/>
          <w:szCs w:val="32"/>
        </w:rPr>
      </w:pPr>
      <w:r>
        <w:rPr>
          <w:rFonts w:hint="eastAsia" w:ascii="方正仿宋_GB2312" w:hAnsi="方正仿宋_GB2312" w:eastAsia="方正仿宋_GB2312" w:cs="方正仿宋_GB2312"/>
          <w:bCs/>
          <w:sz w:val="32"/>
          <w:szCs w:val="32"/>
        </w:rPr>
        <w:t>6.其他要求：本项目中标人负责本次项目中所有设备、辅材的运输、安装、调试及系统培训等；系统集成中所有线缆线路进行捆扎及采用统一的标识；隐蔽性工程留存现场照片；强弱电线路预留安全距离，分离敷设；项目终验后，对学校相关人员进行日常使用的集中式培训；定期组织针对学校相关人员日常操作的培训。免费对徽风楼（实验综合楼）21楼第一会议室会议室主席台进行整体改造，将主席台整体抬升10CM。恢复大屏安装完成以后的主席台背景墙使其和原有装饰风格保持一致。根据学校需求，重大活动时提供现场技术保障。</w:t>
      </w:r>
    </w:p>
    <w:p w14:paraId="468EA3D8">
      <w:pPr>
        <w:spacing w:line="560" w:lineRule="exact"/>
        <w:ind w:firstLine="643" w:firstLineChars="200"/>
        <w:rPr>
          <w:rFonts w:ascii="仿宋" w:hAnsi="仿宋" w:eastAsia="仿宋" w:cs="方正仿宋_GB2312"/>
          <w:b/>
          <w:bCs/>
          <w:sz w:val="32"/>
          <w:szCs w:val="32"/>
        </w:rPr>
      </w:pPr>
      <w:r>
        <w:rPr>
          <w:rFonts w:hint="eastAsia" w:ascii="仿宋" w:hAnsi="仿宋" w:eastAsia="仿宋" w:cs="仿宋"/>
          <w:b/>
          <w:sz w:val="32"/>
          <w:szCs w:val="32"/>
        </w:rPr>
        <w:t>六、资信部分调研</w:t>
      </w:r>
    </w:p>
    <w:p w14:paraId="212CAA45">
      <w:pPr>
        <w:spacing w:line="560" w:lineRule="exact"/>
        <w:ind w:firstLine="643" w:firstLineChars="200"/>
        <w:rPr>
          <w:rFonts w:ascii="仿宋" w:hAnsi="仿宋" w:eastAsia="仿宋" w:cs="方正仿宋_GB2312"/>
          <w:b/>
          <w:bCs/>
          <w:sz w:val="32"/>
          <w:szCs w:val="32"/>
        </w:rPr>
      </w:pPr>
      <w:r>
        <w:rPr>
          <w:rFonts w:hint="eastAsia" w:ascii="仿宋" w:hAnsi="仿宋" w:eastAsia="仿宋" w:cs="方正仿宋_GB2312"/>
          <w:b/>
          <w:bCs/>
          <w:sz w:val="32"/>
          <w:szCs w:val="32"/>
        </w:rPr>
        <w:t>1.投标人业绩【请根据本单位实际情况填写】</w:t>
      </w:r>
    </w:p>
    <w:p w14:paraId="7C0533B4">
      <w:pPr>
        <w:spacing w:line="560" w:lineRule="exact"/>
        <w:ind w:firstLine="640" w:firstLineChars="200"/>
        <w:rPr>
          <w:rFonts w:ascii="仿宋" w:hAnsi="仿宋" w:eastAsia="仿宋" w:cs="方正仿宋_GB2312"/>
          <w:sz w:val="32"/>
          <w:szCs w:val="32"/>
        </w:rPr>
      </w:pPr>
      <w:r>
        <w:rPr>
          <w:rFonts w:hint="eastAsia" w:ascii="仿宋" w:hAnsi="仿宋" w:eastAsia="仿宋" w:cs="方正仿宋_GB2312"/>
          <w:sz w:val="32"/>
          <w:szCs w:val="32"/>
        </w:rPr>
        <w:t>自2020年1月1日以来（以合同签订时间为准），投标人具有类似信息化工程业绩（含多媒体会议系统）或LED屏采购安装业绩</w:t>
      </w:r>
      <w:r>
        <w:rPr>
          <w:rFonts w:hint="eastAsia" w:ascii="仿宋" w:hAnsi="仿宋" w:eastAsia="仿宋" w:cs="方正仿宋_GB2312"/>
          <w:sz w:val="32"/>
          <w:szCs w:val="32"/>
          <w:u w:val="single"/>
        </w:rPr>
        <w:t xml:space="preserve">     </w:t>
      </w:r>
      <w:r>
        <w:rPr>
          <w:rFonts w:hint="eastAsia" w:ascii="仿宋" w:hAnsi="仿宋" w:eastAsia="仿宋" w:cs="方正仿宋_GB2312"/>
          <w:sz w:val="32"/>
          <w:szCs w:val="32"/>
        </w:rPr>
        <w:t>个。</w:t>
      </w:r>
    </w:p>
    <w:p w14:paraId="55D9665C">
      <w:pPr>
        <w:spacing w:line="560" w:lineRule="exact"/>
        <w:ind w:firstLine="643" w:firstLineChars="200"/>
        <w:rPr>
          <w:rFonts w:ascii="仿宋" w:hAnsi="仿宋" w:eastAsia="仿宋" w:cs="方正仿宋_GB2312"/>
          <w:b/>
          <w:bCs/>
          <w:sz w:val="32"/>
          <w:szCs w:val="32"/>
        </w:rPr>
      </w:pPr>
      <w:r>
        <w:rPr>
          <w:rFonts w:hint="eastAsia" w:ascii="仿宋" w:hAnsi="仿宋" w:eastAsia="仿宋" w:cs="方正仿宋_GB2312"/>
          <w:b/>
          <w:bCs/>
          <w:sz w:val="32"/>
          <w:szCs w:val="32"/>
        </w:rPr>
        <w:t>2</w:t>
      </w:r>
      <w:r>
        <w:rPr>
          <w:rFonts w:ascii="仿宋" w:hAnsi="仿宋" w:eastAsia="仿宋" w:cs="方正仿宋_GB2312"/>
          <w:b/>
          <w:bCs/>
          <w:sz w:val="32"/>
          <w:szCs w:val="32"/>
        </w:rPr>
        <w:t>.</w:t>
      </w:r>
      <w:r>
        <w:rPr>
          <w:rFonts w:hint="eastAsia" w:ascii="仿宋" w:hAnsi="仿宋" w:eastAsia="仿宋" w:cs="方正仿宋_GB2312"/>
          <w:b/>
          <w:bCs/>
          <w:sz w:val="32"/>
          <w:szCs w:val="32"/>
        </w:rPr>
        <w:t>投标人资质情况</w:t>
      </w:r>
      <w:r>
        <w:rPr>
          <w:rFonts w:hint="eastAsia" w:ascii="仿宋" w:hAnsi="仿宋" w:eastAsia="仿宋" w:cs="仿宋"/>
          <w:b/>
          <w:bCs/>
          <w:sz w:val="32"/>
          <w:szCs w:val="32"/>
        </w:rPr>
        <w:t>【具备请打“√”】</w:t>
      </w:r>
    </w:p>
    <w:p w14:paraId="52E71DF8">
      <w:pPr>
        <w:spacing w:line="560" w:lineRule="exact"/>
        <w:ind w:firstLine="640" w:firstLineChars="200"/>
        <w:rPr>
          <w:rFonts w:ascii="仿宋" w:hAnsi="仿宋" w:eastAsia="仿宋" w:cs="方正仿宋_GB2312"/>
          <w:sz w:val="32"/>
          <w:szCs w:val="32"/>
        </w:rPr>
      </w:pPr>
      <w:r>
        <w:rPr>
          <w:rFonts w:hint="eastAsia" w:ascii="仿宋" w:hAnsi="仿宋" w:eastAsia="仿宋" w:cs="方正仿宋_GB2312"/>
          <w:sz w:val="32"/>
          <w:szCs w:val="32"/>
        </w:rPr>
        <w:t>（1）</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建筑装修装饰工程专业承包壹级证书；</w:t>
      </w:r>
    </w:p>
    <w:p w14:paraId="539E05F0">
      <w:pPr>
        <w:spacing w:line="560" w:lineRule="exact"/>
        <w:ind w:firstLine="640" w:firstLineChars="200"/>
        <w:rPr>
          <w:rFonts w:ascii="仿宋" w:hAnsi="仿宋" w:eastAsia="仿宋" w:cs="方正仿宋_GB2312"/>
          <w:sz w:val="32"/>
          <w:szCs w:val="32"/>
        </w:rPr>
      </w:pPr>
      <w:r>
        <w:rPr>
          <w:rFonts w:hint="eastAsia" w:ascii="仿宋" w:hAnsi="仿宋" w:eastAsia="仿宋" w:cs="方正仿宋_GB2312"/>
          <w:sz w:val="32"/>
          <w:szCs w:val="32"/>
        </w:rPr>
        <w:t>（2）</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音视频系统集成工程企业能力等级壹级证书；</w:t>
      </w:r>
    </w:p>
    <w:p w14:paraId="394F68B0">
      <w:pPr>
        <w:spacing w:line="560" w:lineRule="exact"/>
        <w:ind w:firstLine="640" w:firstLineChars="200"/>
        <w:rPr>
          <w:rFonts w:ascii="仿宋" w:hAnsi="仿宋" w:eastAsia="仿宋" w:cs="方正仿宋_GB2312"/>
          <w:sz w:val="32"/>
          <w:szCs w:val="32"/>
        </w:rPr>
      </w:pPr>
      <w:r>
        <w:rPr>
          <w:rFonts w:hint="eastAsia" w:ascii="仿宋" w:hAnsi="仿宋" w:eastAsia="仿宋" w:cs="方正仿宋_GB2312"/>
          <w:sz w:val="32"/>
          <w:szCs w:val="32"/>
        </w:rPr>
        <w:t>（3）</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电子与智能化工程专业承包壹级资质证书；</w:t>
      </w:r>
    </w:p>
    <w:p w14:paraId="304DCCDC">
      <w:pPr>
        <w:spacing w:line="560" w:lineRule="exact"/>
        <w:ind w:firstLine="640" w:firstLineChars="200"/>
        <w:rPr>
          <w:rFonts w:ascii="仿宋" w:hAnsi="仿宋" w:eastAsia="仿宋" w:cs="方正仿宋_GB2312"/>
          <w:sz w:val="32"/>
          <w:szCs w:val="32"/>
        </w:rPr>
      </w:pPr>
      <w:r>
        <w:rPr>
          <w:rFonts w:hint="eastAsia" w:ascii="仿宋" w:hAnsi="仿宋" w:eastAsia="仿宋" w:cs="方正仿宋_GB2312"/>
          <w:sz w:val="32"/>
          <w:szCs w:val="32"/>
        </w:rPr>
        <w:t>（4）</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投标人具有建筑机电安装工程专业承包贰级或以上资质。</w:t>
      </w:r>
    </w:p>
    <w:p w14:paraId="403FCE96">
      <w:pPr>
        <w:spacing w:line="560" w:lineRule="exact"/>
        <w:ind w:firstLine="643" w:firstLineChars="200"/>
        <w:rPr>
          <w:rFonts w:ascii="仿宋" w:hAnsi="仿宋" w:eastAsia="仿宋" w:cs="方正仿宋_GB2312"/>
          <w:b/>
          <w:bCs/>
          <w:sz w:val="32"/>
          <w:szCs w:val="32"/>
        </w:rPr>
      </w:pPr>
      <w:r>
        <w:rPr>
          <w:rFonts w:hint="eastAsia" w:ascii="仿宋" w:hAnsi="仿宋" w:eastAsia="仿宋" w:cs="方正仿宋_GB2312"/>
          <w:b/>
          <w:bCs/>
          <w:sz w:val="32"/>
          <w:szCs w:val="32"/>
        </w:rPr>
        <w:t>3.体系认证</w:t>
      </w:r>
      <w:r>
        <w:rPr>
          <w:rFonts w:hint="eastAsia" w:ascii="仿宋" w:hAnsi="仿宋" w:eastAsia="仿宋" w:cs="仿宋"/>
          <w:b/>
          <w:bCs/>
          <w:sz w:val="32"/>
          <w:szCs w:val="32"/>
        </w:rPr>
        <w:t>【</w:t>
      </w:r>
      <w:r>
        <w:rPr>
          <w:rFonts w:hint="eastAsia" w:ascii="仿宋" w:hAnsi="仿宋" w:eastAsia="仿宋" w:cs="方正仿宋_GB2312"/>
          <w:b/>
          <w:bCs/>
          <w:sz w:val="32"/>
          <w:szCs w:val="32"/>
        </w:rPr>
        <w:t>提供全国认证认可信息公共服务平台官网认证信息查询截图</w:t>
      </w:r>
      <w:r>
        <w:rPr>
          <w:rFonts w:hint="eastAsia" w:ascii="仿宋" w:hAnsi="仿宋" w:eastAsia="仿宋" w:cs="仿宋"/>
          <w:b/>
          <w:bCs/>
          <w:sz w:val="32"/>
          <w:szCs w:val="32"/>
        </w:rPr>
        <w:t>】</w:t>
      </w:r>
    </w:p>
    <w:p w14:paraId="23D94B97">
      <w:pPr>
        <w:spacing w:line="560" w:lineRule="exact"/>
        <w:ind w:firstLine="640" w:firstLineChars="200"/>
        <w:rPr>
          <w:rFonts w:ascii="仿宋" w:hAnsi="仿宋" w:eastAsia="仿宋" w:cs="方正仿宋_GB2312"/>
          <w:sz w:val="32"/>
          <w:szCs w:val="32"/>
        </w:rPr>
      </w:pPr>
      <w:r>
        <w:rPr>
          <w:rFonts w:hint="eastAsia" w:ascii="仿宋" w:hAnsi="仿宋" w:eastAsia="仿宋" w:cs="方正仿宋_GB2312"/>
          <w:sz w:val="32"/>
          <w:szCs w:val="32"/>
        </w:rPr>
        <w:t>经中国国家认证认可监督管理委员会认可的认证机构颁发：</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质量管理体系认证证书；</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职业健康管理体系认证证书；</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环境管理体系认证证书；</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信息安全管理体系认证证书；</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信息技术服务管理体系认证证书；</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信息技术服务运行维护标准三级或以上证书。</w:t>
      </w:r>
    </w:p>
    <w:p w14:paraId="12DB4434">
      <w:pPr>
        <w:spacing w:line="560" w:lineRule="exact"/>
        <w:ind w:left="643"/>
        <w:rPr>
          <w:rFonts w:ascii="仿宋" w:hAnsi="仿宋" w:eastAsia="仿宋" w:cs="方正仿宋_GB2312"/>
          <w:b/>
          <w:bCs/>
          <w:sz w:val="32"/>
          <w:szCs w:val="32"/>
        </w:rPr>
      </w:pPr>
      <w:r>
        <w:rPr>
          <w:rFonts w:hint="eastAsia" w:ascii="仿宋" w:hAnsi="仿宋" w:eastAsia="仿宋" w:cs="方正仿宋_GB2312"/>
          <w:b/>
          <w:bCs/>
          <w:sz w:val="32"/>
          <w:szCs w:val="32"/>
        </w:rPr>
        <w:t>4</w:t>
      </w:r>
      <w:r>
        <w:rPr>
          <w:rFonts w:ascii="仿宋" w:hAnsi="仿宋" w:eastAsia="仿宋" w:cs="方正仿宋_GB2312"/>
          <w:b/>
          <w:bCs/>
          <w:sz w:val="32"/>
          <w:szCs w:val="32"/>
        </w:rPr>
        <w:t>.</w:t>
      </w:r>
      <w:r>
        <w:rPr>
          <w:rFonts w:hint="eastAsia" w:ascii="仿宋" w:hAnsi="仿宋" w:eastAsia="仿宋" w:cs="方正仿宋_GB2312"/>
          <w:b/>
          <w:bCs/>
          <w:sz w:val="32"/>
          <w:szCs w:val="32"/>
        </w:rPr>
        <w:t>拟派项目负责人情况：</w:t>
      </w:r>
    </w:p>
    <w:p w14:paraId="581D74D7">
      <w:pPr>
        <w:spacing w:line="560" w:lineRule="exact"/>
        <w:ind w:firstLine="640" w:firstLineChars="200"/>
        <w:rPr>
          <w:rFonts w:ascii="仿宋" w:hAnsi="仿宋" w:eastAsia="仿宋" w:cs="方正仿宋_GB2312"/>
          <w:sz w:val="32"/>
          <w:szCs w:val="32"/>
        </w:rPr>
      </w:pPr>
      <w:r>
        <w:rPr>
          <w:rFonts w:hint="eastAsia" w:ascii="仿宋" w:hAnsi="仿宋" w:eastAsia="仿宋" w:cs="方正仿宋_GB2312"/>
          <w:sz w:val="32"/>
          <w:szCs w:val="32"/>
        </w:rPr>
        <w:t>（1）</w:t>
      </w:r>
      <w:r>
        <w:rPr>
          <w:rFonts w:hint="eastAsia" w:ascii="仿宋" w:hAnsi="仿宋" w:eastAsia="仿宋" w:cs="方正仿宋_GB2312"/>
          <w:b/>
          <w:bCs/>
          <w:sz w:val="32"/>
          <w:szCs w:val="32"/>
        </w:rPr>
        <w:t>本科及以上学历</w:t>
      </w:r>
      <w:r>
        <w:rPr>
          <w:rFonts w:hint="eastAsia" w:ascii="仿宋" w:hAnsi="仿宋" w:eastAsia="仿宋" w:cs="方正仿宋_GB2312"/>
          <w:sz w:val="32"/>
          <w:szCs w:val="32"/>
        </w:rPr>
        <w:t>：</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 xml:space="preserve">有  </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 xml:space="preserve">无 </w:t>
      </w:r>
    </w:p>
    <w:p w14:paraId="363CA1FE">
      <w:pPr>
        <w:spacing w:line="560" w:lineRule="exact"/>
        <w:ind w:firstLine="640" w:firstLineChars="200"/>
        <w:rPr>
          <w:rFonts w:ascii="仿宋" w:hAnsi="仿宋" w:eastAsia="仿宋" w:cs="方正仿宋_GB2312"/>
          <w:sz w:val="32"/>
          <w:szCs w:val="32"/>
        </w:rPr>
      </w:pPr>
      <w:r>
        <w:rPr>
          <w:rFonts w:hint="eastAsia" w:ascii="仿宋" w:hAnsi="仿宋" w:eastAsia="仿宋" w:cs="方正仿宋_GB2312"/>
          <w:sz w:val="32"/>
          <w:szCs w:val="32"/>
        </w:rPr>
        <w:t>（2）</w:t>
      </w:r>
      <w:r>
        <w:rPr>
          <w:rFonts w:hint="eastAsia" w:ascii="仿宋" w:hAnsi="仿宋" w:eastAsia="仿宋" w:cs="方正仿宋_GB2312"/>
          <w:b/>
          <w:bCs/>
          <w:sz w:val="32"/>
          <w:szCs w:val="32"/>
        </w:rPr>
        <w:t>行业相关中级及以上职称：</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 xml:space="preserve">有  </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 xml:space="preserve">无 </w:t>
      </w:r>
    </w:p>
    <w:p w14:paraId="25CF5614">
      <w:pPr>
        <w:spacing w:line="560" w:lineRule="exact"/>
        <w:ind w:firstLine="640" w:firstLineChars="200"/>
        <w:rPr>
          <w:rFonts w:ascii="仿宋" w:hAnsi="仿宋" w:eastAsia="仿宋" w:cs="方正仿宋_GB2312"/>
          <w:b/>
          <w:bCs/>
          <w:sz w:val="32"/>
          <w:szCs w:val="32"/>
        </w:rPr>
      </w:pPr>
      <w:r>
        <w:rPr>
          <w:rFonts w:hint="eastAsia" w:ascii="仿宋" w:hAnsi="仿宋" w:eastAsia="仿宋" w:cs="方正仿宋_GB2312"/>
          <w:sz w:val="32"/>
          <w:szCs w:val="32"/>
        </w:rPr>
        <w:t>（3）</w:t>
      </w:r>
      <w:r>
        <w:rPr>
          <w:rFonts w:hint="eastAsia" w:ascii="仿宋" w:hAnsi="仿宋" w:eastAsia="仿宋" w:cs="方正仿宋_GB2312"/>
          <w:b/>
          <w:bCs/>
          <w:sz w:val="32"/>
          <w:szCs w:val="32"/>
        </w:rPr>
        <w:t>证书：</w:t>
      </w:r>
    </w:p>
    <w:p w14:paraId="2EFAA9CC">
      <w:pPr>
        <w:spacing w:line="560" w:lineRule="exact"/>
        <w:ind w:firstLine="640" w:firstLineChars="200"/>
        <w:rPr>
          <w:rFonts w:ascii="仿宋" w:hAnsi="仿宋" w:eastAsia="仿宋" w:cs="方正仿宋_GB2312"/>
          <w:sz w:val="32"/>
          <w:szCs w:val="32"/>
        </w:rPr>
      </w:pPr>
      <w:r>
        <w:rPr>
          <w:rFonts w:hint="eastAsia" w:ascii="仿宋" w:hAnsi="仿宋" w:eastAsia="仿宋" w:cs="方正仿宋_GB2312"/>
          <w:sz w:val="32"/>
          <w:szCs w:val="32"/>
        </w:rPr>
        <w:t xml:space="preserve">机电工程专业一级注册建造师资格证  </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 xml:space="preserve">有  </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无</w:t>
      </w:r>
    </w:p>
    <w:p w14:paraId="2786C717">
      <w:pPr>
        <w:spacing w:line="560" w:lineRule="exact"/>
        <w:ind w:firstLine="640" w:firstLineChars="200"/>
        <w:rPr>
          <w:rFonts w:ascii="仿宋" w:hAnsi="仿宋" w:eastAsia="仿宋" w:cs="方正仿宋_GB2312"/>
          <w:sz w:val="32"/>
          <w:szCs w:val="32"/>
        </w:rPr>
      </w:pPr>
      <w:r>
        <w:rPr>
          <w:rFonts w:hint="eastAsia" w:ascii="仿宋" w:hAnsi="仿宋" w:eastAsia="仿宋" w:cs="方正仿宋_GB2312"/>
          <w:sz w:val="32"/>
          <w:szCs w:val="32"/>
        </w:rPr>
        <w:t xml:space="preserve">安全生产考核合格证B证   </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 xml:space="preserve">有  </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无</w:t>
      </w:r>
    </w:p>
    <w:p w14:paraId="78BDDFC1">
      <w:pPr>
        <w:spacing w:line="560" w:lineRule="exact"/>
        <w:ind w:firstLine="640" w:firstLineChars="200"/>
        <w:rPr>
          <w:rFonts w:ascii="仿宋" w:hAnsi="仿宋" w:eastAsia="仿宋" w:cs="方正仿宋_GB2312"/>
          <w:sz w:val="32"/>
          <w:szCs w:val="32"/>
        </w:rPr>
      </w:pPr>
      <w:r>
        <w:rPr>
          <w:rFonts w:hint="eastAsia" w:ascii="仿宋" w:hAnsi="仿宋" w:eastAsia="仿宋" w:cs="方正仿宋_GB2312"/>
          <w:sz w:val="32"/>
          <w:szCs w:val="32"/>
        </w:rPr>
        <w:t xml:space="preserve">机电工程专业二级注册建造师资格证  </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 xml:space="preserve">有  </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无</w:t>
      </w:r>
    </w:p>
    <w:bookmarkEnd w:id="0"/>
    <w:p w14:paraId="70D2605D">
      <w:pPr>
        <w:spacing w:line="560" w:lineRule="exact"/>
        <w:ind w:firstLine="640" w:firstLineChars="200"/>
        <w:rPr>
          <w:rFonts w:ascii="仿宋" w:hAnsi="仿宋" w:eastAsia="仿宋" w:cs="方正仿宋_GB2312"/>
          <w:sz w:val="32"/>
          <w:szCs w:val="32"/>
        </w:rPr>
      </w:pPr>
      <w:r>
        <w:rPr>
          <w:rFonts w:hint="eastAsia" w:ascii="仿宋" w:hAnsi="仿宋" w:eastAsia="仿宋" w:cs="方正仿宋_GB2312"/>
          <w:sz w:val="32"/>
          <w:szCs w:val="32"/>
        </w:rPr>
        <w:t>4.</w:t>
      </w:r>
      <w:r>
        <w:rPr>
          <w:rFonts w:hint="eastAsia" w:ascii="仿宋" w:hAnsi="仿宋" w:eastAsia="仿宋" w:cs="方正仿宋_GB2312"/>
          <w:b/>
          <w:bCs/>
          <w:sz w:val="32"/>
          <w:szCs w:val="32"/>
        </w:rPr>
        <w:t>拟派项目专业技术人员（除项目负责人外）</w:t>
      </w:r>
    </w:p>
    <w:p w14:paraId="5AA21C7A">
      <w:pPr>
        <w:spacing w:line="560" w:lineRule="exact"/>
        <w:ind w:firstLine="640" w:firstLineChars="200"/>
        <w:rPr>
          <w:rFonts w:ascii="仿宋" w:hAnsi="仿宋" w:eastAsia="仿宋" w:cs="方正仿宋_GB2312"/>
          <w:sz w:val="32"/>
          <w:szCs w:val="32"/>
        </w:rPr>
      </w:pPr>
      <w:r>
        <w:rPr>
          <w:rFonts w:hint="eastAsia" w:ascii="仿宋" w:hAnsi="仿宋" w:eastAsia="仿宋" w:cs="方正仿宋_GB2312"/>
          <w:sz w:val="32"/>
          <w:szCs w:val="32"/>
        </w:rPr>
        <w:t>（1）高级工程师：</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有</w:t>
      </w:r>
      <w:r>
        <w:rPr>
          <w:rFonts w:hint="eastAsia" w:ascii="仿宋" w:hAnsi="仿宋" w:eastAsia="仿宋" w:cs="方正仿宋_GB2312"/>
          <w:sz w:val="32"/>
          <w:szCs w:val="32"/>
          <w:u w:val="single"/>
        </w:rPr>
        <w:t xml:space="preserve">      </w:t>
      </w:r>
      <w:r>
        <w:rPr>
          <w:rFonts w:hint="eastAsia" w:ascii="仿宋" w:hAnsi="仿宋" w:eastAsia="仿宋" w:cs="方正仿宋_GB2312"/>
          <w:sz w:val="32"/>
          <w:szCs w:val="32"/>
        </w:rPr>
        <w:t xml:space="preserve">个  </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 xml:space="preserve">无 </w:t>
      </w:r>
    </w:p>
    <w:p w14:paraId="3790006D">
      <w:pPr>
        <w:spacing w:line="560" w:lineRule="exact"/>
        <w:ind w:firstLine="640" w:firstLineChars="200"/>
        <w:rPr>
          <w:rFonts w:ascii="仿宋" w:hAnsi="仿宋" w:eastAsia="仿宋" w:cs="方正仿宋_GB2312"/>
          <w:sz w:val="32"/>
          <w:szCs w:val="32"/>
        </w:rPr>
      </w:pPr>
      <w:r>
        <w:rPr>
          <w:rFonts w:hint="eastAsia" w:ascii="仿宋" w:hAnsi="仿宋" w:eastAsia="仿宋" w:cs="方正仿宋_GB2312"/>
          <w:sz w:val="32"/>
          <w:szCs w:val="32"/>
        </w:rPr>
        <w:t>（2）具有熔化焊接与热切割作业证书：</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有</w:t>
      </w:r>
      <w:r>
        <w:rPr>
          <w:rFonts w:hint="eastAsia" w:ascii="仿宋" w:hAnsi="仿宋" w:eastAsia="仿宋" w:cs="方正仿宋_GB2312"/>
          <w:sz w:val="32"/>
          <w:szCs w:val="32"/>
          <w:u w:val="single"/>
        </w:rPr>
        <w:t xml:space="preserve">     </w:t>
      </w:r>
      <w:r>
        <w:rPr>
          <w:rFonts w:hint="eastAsia" w:ascii="仿宋" w:hAnsi="仿宋" w:eastAsia="仿宋" w:cs="方正仿宋_GB2312"/>
          <w:sz w:val="32"/>
          <w:szCs w:val="32"/>
        </w:rPr>
        <w:t xml:space="preserve"> 个  </w:t>
      </w:r>
      <w:r>
        <w:rPr>
          <w:rFonts w:hint="eastAsia" w:ascii="仿宋" w:hAnsi="仿宋" w:eastAsia="仿宋" w:cs="方正仿宋_GB2312"/>
          <w:sz w:val="32"/>
          <w:szCs w:val="32"/>
        </w:rPr>
        <w:sym w:font="Wingdings" w:char="00A8"/>
      </w:r>
      <w:r>
        <w:rPr>
          <w:rFonts w:hint="eastAsia" w:ascii="仿宋" w:hAnsi="仿宋" w:eastAsia="仿宋" w:cs="方正仿宋_GB2312"/>
          <w:sz w:val="32"/>
          <w:szCs w:val="32"/>
        </w:rPr>
        <w:t xml:space="preserve">无 </w:t>
      </w:r>
    </w:p>
    <w:p w14:paraId="60339E85">
      <w:pPr>
        <w:spacing w:line="560" w:lineRule="exact"/>
        <w:ind w:firstLine="640" w:firstLineChars="200"/>
        <w:rPr>
          <w:rFonts w:ascii="仿宋" w:hAnsi="仿宋" w:eastAsia="仿宋" w:cs="方正仿宋_GB2312"/>
          <w:sz w:val="32"/>
          <w:szCs w:val="32"/>
        </w:rPr>
      </w:pPr>
    </w:p>
    <w:p w14:paraId="2E47EAFD">
      <w:pPr>
        <w:spacing w:line="560" w:lineRule="exact"/>
        <w:ind w:firstLine="643" w:firstLineChars="200"/>
        <w:rPr>
          <w:rFonts w:ascii="仿宋" w:hAnsi="仿宋" w:eastAsia="仿宋" w:cs="方正仿宋_GB2312"/>
          <w:sz w:val="32"/>
          <w:szCs w:val="32"/>
        </w:rPr>
      </w:pPr>
      <w:r>
        <w:rPr>
          <w:rFonts w:hint="eastAsia" w:ascii="仿宋" w:hAnsi="仿宋" w:eastAsia="仿宋" w:cs="方正仿宋_GB2312"/>
          <w:b/>
          <w:bCs/>
          <w:sz w:val="32"/>
          <w:szCs w:val="32"/>
        </w:rPr>
        <w:t>七、其他方面的建议</w:t>
      </w:r>
    </w:p>
    <w:p w14:paraId="4D5B8744"/>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简标宋">
    <w:altName w:val="黑体"/>
    <w:panose1 w:val="00000000000000000000"/>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2312">
    <w:altName w:val="仿宋"/>
    <w:panose1 w:val="00000000000000000000"/>
    <w:charset w:val="86"/>
    <w:family w:val="auto"/>
    <w:pitch w:val="default"/>
    <w:sig w:usb0="00000000" w:usb1="00000000"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7CCC5D"/>
    <w:multiLevelType w:val="singleLevel"/>
    <w:tmpl w:val="907CCC5D"/>
    <w:lvl w:ilvl="0" w:tentative="0">
      <w:start w:val="1"/>
      <w:numFmt w:val="chineseCounting"/>
      <w:suff w:val="nothing"/>
      <w:lvlText w:val="%1、"/>
      <w:lvlJc w:val="left"/>
      <w:pPr>
        <w:ind w:left="-13"/>
      </w:pPr>
      <w:rPr>
        <w:rFonts w:hint="eastAsia"/>
      </w:rPr>
    </w:lvl>
  </w:abstractNum>
  <w:abstractNum w:abstractNumId="1">
    <w:nsid w:val="E92CC8C3"/>
    <w:multiLevelType w:val="singleLevel"/>
    <w:tmpl w:val="E92CC8C3"/>
    <w:lvl w:ilvl="0" w:tentative="0">
      <w:start w:val="3"/>
      <w:numFmt w:val="chineseCounting"/>
      <w:suff w:val="nothing"/>
      <w:lvlText w:val="（%1）"/>
      <w:lvlJc w:val="left"/>
      <w:rPr>
        <w:rFonts w:hint="eastAsia" w:ascii="仿宋" w:hAnsi="仿宋" w:eastAsia="仿宋" w:cs="仿宋"/>
        <w:sz w:val="32"/>
        <w:szCs w:val="32"/>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5B0BA0"/>
    <w:rsid w:val="00663916"/>
    <w:rsid w:val="007910BD"/>
    <w:rsid w:val="009D1385"/>
    <w:rsid w:val="05704EC0"/>
    <w:rsid w:val="0EC054FF"/>
    <w:rsid w:val="1FC2319F"/>
    <w:rsid w:val="21B21720"/>
    <w:rsid w:val="25E847EB"/>
    <w:rsid w:val="261D4629"/>
    <w:rsid w:val="26606A77"/>
    <w:rsid w:val="304C3460"/>
    <w:rsid w:val="32B22ACE"/>
    <w:rsid w:val="35926521"/>
    <w:rsid w:val="4D07114B"/>
    <w:rsid w:val="4F7C5E20"/>
    <w:rsid w:val="564C7BCE"/>
    <w:rsid w:val="645B0BA0"/>
    <w:rsid w:val="6AC978EB"/>
    <w:rsid w:val="705C4D63"/>
    <w:rsid w:val="72F07E08"/>
    <w:rsid w:val="76B67A33"/>
    <w:rsid w:val="791502D5"/>
    <w:rsid w:val="7A32603A"/>
    <w:rsid w:val="7B3F16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adjustRightInd w:val="0"/>
      <w:jc w:val="left"/>
      <w:textAlignment w:val="baseline"/>
    </w:pPr>
  </w:style>
  <w:style w:type="paragraph" w:styleId="3">
    <w:name w:val="Body Text Indent"/>
    <w:basedOn w:val="1"/>
    <w:semiHidden/>
    <w:unhideWhenUsed/>
    <w:qFormat/>
    <w:uiPriority w:val="99"/>
    <w:pPr>
      <w:spacing w:after="120"/>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2"/>
    <w:basedOn w:val="3"/>
    <w:next w:val="1"/>
    <w:qFormat/>
    <w:uiPriority w:val="0"/>
    <w:pPr>
      <w:spacing w:after="0"/>
      <w:ind w:left="0" w:leftChars="0" w:firstLine="420"/>
    </w:pPr>
    <w:rPr>
      <w:rFonts w:ascii="微软简标宋" w:hAnsi="微软简标宋"/>
      <w:color w:val="00000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1682</Words>
  <Characters>2049</Characters>
  <Lines>75</Lines>
  <Paragraphs>21</Paragraphs>
  <TotalTime>6</TotalTime>
  <ScaleCrop>false</ScaleCrop>
  <LinksUpToDate>false</LinksUpToDate>
  <CharactersWithSpaces>2079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2025-06-05T05:39:00Z</dcterms:created>
  <dc:creator>qiu</dc:creator>
  <cp:lastModifiedBy>微信用户</cp:lastModifiedBy>
  <cp:lastPrinted>2025-06-05T06:08:00Z</cp:lastPrinted>
  <dcterms:modified xsi:type="dcterms:W3CDTF">2025-06-05T07:15:46Z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B964D9C46E0E4B9D83B2FC72D24A8359_13</vt:lpwstr>
  </property>
  <property fmtid="{D5CDD505-2E9C-101B-9397-08002B2CF9AE}" pid="4" name="KSOTemplateDocerSaveRecord">
    <vt:lpwstr>eyJoZGlkIjoiOGFjZWIxMzMzYjg0YTNmZTViOGJiNmRmZmQ5YzQ5NWMiLCJ1c2VySWQiOiI1NjcyNzkzMjAifQ==</vt:lpwstr>
  </property>
</Properties>
</file>