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beforeLines="50" w:after="100" w:afterAutospacing="1" w:line="460" w:lineRule="exact"/>
        <w:ind w:firstLine="482" w:firstLineChars="200"/>
        <w:jc w:val="center"/>
        <w:rPr>
          <w:rFonts w:ascii="宋体" w:hAnsi="宋体" w:eastAsia="宋体" w:cs="宋体"/>
          <w:color w:val="333333"/>
          <w:kern w:val="0"/>
          <w:szCs w:val="21"/>
        </w:rPr>
      </w:pPr>
      <w:r>
        <w:rPr>
          <w:rFonts w:hint="eastAsia" w:ascii="宋体" w:hAnsi="宋体" w:eastAsia="宋体" w:cs="宋体"/>
          <w:b/>
          <w:color w:val="333333"/>
          <w:kern w:val="0"/>
          <w:sz w:val="24"/>
          <w:szCs w:val="24"/>
        </w:rPr>
        <w:t>安徽建筑大学</w:t>
      </w:r>
    </w:p>
    <w:p>
      <w:pPr>
        <w:widowControl/>
        <w:spacing w:before="156" w:beforeLines="50" w:after="100" w:afterAutospacing="1" w:line="460" w:lineRule="exact"/>
        <w:ind w:firstLine="482" w:firstLineChars="200"/>
        <w:jc w:val="center"/>
        <w:rPr>
          <w:rFonts w:ascii="宋体" w:hAnsi="宋体" w:eastAsia="宋体" w:cs="宋体"/>
          <w:color w:val="333333"/>
          <w:kern w:val="0"/>
          <w:szCs w:val="21"/>
        </w:rPr>
      </w:pPr>
      <w:r>
        <w:rPr>
          <w:rFonts w:hint="eastAsia" w:ascii="宋体" w:hAnsi="宋体" w:eastAsia="宋体" w:cs="宋体"/>
          <w:b/>
          <w:color w:val="333333"/>
          <w:kern w:val="0"/>
          <w:sz w:val="24"/>
          <w:szCs w:val="24"/>
          <w:u w:val="none"/>
        </w:rPr>
        <w:t>计算机技术（专硕）</w:t>
      </w:r>
      <w:r>
        <w:rPr>
          <w:rFonts w:hint="eastAsia" w:ascii="宋体" w:hAnsi="宋体" w:eastAsia="宋体" w:cs="宋体"/>
          <w:b/>
          <w:color w:val="333333"/>
          <w:kern w:val="0"/>
          <w:sz w:val="24"/>
          <w:szCs w:val="24"/>
        </w:rPr>
        <w:t>硕士学位研究生培养方案</w:t>
      </w:r>
    </w:p>
    <w:p>
      <w:pPr>
        <w:widowControl/>
        <w:spacing w:before="156" w:beforeLines="50" w:after="100" w:afterAutospacing="1" w:line="460" w:lineRule="exact"/>
        <w:ind w:firstLine="480" w:firstLineChars="200"/>
        <w:jc w:val="center"/>
        <w:rPr>
          <w:rFonts w:ascii="宋体" w:hAnsi="宋体" w:eastAsia="宋体" w:cs="宋体"/>
          <w:color w:val="333333"/>
          <w:kern w:val="0"/>
          <w:szCs w:val="21"/>
        </w:rPr>
      </w:pPr>
      <w:r>
        <w:rPr>
          <w:rFonts w:hint="eastAsia" w:ascii="宋体" w:hAnsi="宋体" w:eastAsia="宋体" w:cs="宋体"/>
          <w:bCs/>
          <w:color w:val="464646"/>
          <w:kern w:val="0"/>
          <w:sz w:val="24"/>
          <w:szCs w:val="24"/>
        </w:rPr>
        <w:t>（专业代码：</w:t>
      </w:r>
      <w:r>
        <w:rPr>
          <w:rFonts w:hint="eastAsia" w:ascii="宋体" w:hAnsi="宋体" w:eastAsia="宋体" w:cs="宋体"/>
          <w:b/>
          <w:color w:val="333333"/>
          <w:kern w:val="0"/>
          <w:sz w:val="24"/>
          <w:szCs w:val="24"/>
        </w:rPr>
        <w:t>085211</w:t>
      </w:r>
      <w:r>
        <w:rPr>
          <w:rFonts w:hint="eastAsia" w:ascii="宋体" w:hAnsi="宋体" w:eastAsia="宋体" w:cs="宋体"/>
          <w:bCs/>
          <w:color w:val="464646"/>
          <w:kern w:val="0"/>
          <w:sz w:val="24"/>
          <w:szCs w:val="24"/>
        </w:rPr>
        <w:t>　授予工学硕士学位）</w:t>
      </w:r>
    </w:p>
    <w:p>
      <w:pPr>
        <w:widowControl/>
        <w:adjustRightInd w:val="0"/>
        <w:spacing w:line="460" w:lineRule="exact"/>
        <w:jc w:val="left"/>
        <w:outlineLvl w:val="1"/>
        <w:rPr>
          <w:rFonts w:ascii="宋体" w:hAnsi="宋体" w:eastAsia="宋体" w:cs="宋体"/>
          <w:b/>
          <w:bCs/>
          <w:color w:val="333333"/>
          <w:kern w:val="0"/>
          <w:sz w:val="36"/>
          <w:szCs w:val="36"/>
        </w:rPr>
      </w:pPr>
      <w:r>
        <w:rPr>
          <w:rFonts w:hint="eastAsia" w:ascii="宋体" w:hAnsi="宋体" w:eastAsia="宋体" w:cs="宋体"/>
          <w:b/>
          <w:bCs/>
          <w:color w:val="464646"/>
          <w:kern w:val="0"/>
          <w:sz w:val="24"/>
          <w:szCs w:val="24"/>
        </w:rPr>
        <w:t>一、学科专业/领域简介</w:t>
      </w:r>
    </w:p>
    <w:p>
      <w:pPr>
        <w:widowControl/>
        <w:adjustRightInd w:val="0"/>
        <w:spacing w:line="460" w:lineRule="exact"/>
        <w:jc w:val="left"/>
        <w:outlineLvl w:val="1"/>
        <w:rPr>
          <w:rFonts w:ascii="宋体" w:hAnsi="宋体" w:eastAsia="宋体" w:cs="宋体"/>
          <w:b/>
          <w:bCs/>
          <w:color w:val="333333"/>
          <w:kern w:val="0"/>
          <w:sz w:val="36"/>
          <w:szCs w:val="36"/>
        </w:rPr>
      </w:pPr>
      <w:r>
        <w:rPr>
          <w:rFonts w:hint="eastAsia" w:ascii="宋体" w:hAnsi="宋体" w:eastAsia="宋体" w:cs="宋体"/>
          <w:b/>
          <w:color w:val="333333"/>
          <w:kern w:val="0"/>
          <w:sz w:val="24"/>
          <w:szCs w:val="24"/>
        </w:rPr>
        <w:t>专业领域名称：计算机技术（专硕）</w:t>
      </w:r>
    </w:p>
    <w:p>
      <w:pPr>
        <w:widowControl/>
        <w:adjustRightInd w:val="0"/>
        <w:spacing w:line="460" w:lineRule="exact"/>
        <w:jc w:val="left"/>
        <w:outlineLvl w:val="1"/>
        <w:rPr>
          <w:rFonts w:ascii="宋体" w:hAnsi="宋体" w:eastAsia="宋体" w:cs="宋体"/>
          <w:b/>
          <w:bCs/>
          <w:color w:val="333333"/>
          <w:kern w:val="0"/>
          <w:sz w:val="36"/>
          <w:szCs w:val="36"/>
        </w:rPr>
      </w:pPr>
      <w:r>
        <w:rPr>
          <w:rFonts w:hint="eastAsia" w:ascii="宋体" w:hAnsi="宋体" w:eastAsia="宋体" w:cs="宋体"/>
          <w:b/>
          <w:color w:val="333333"/>
          <w:kern w:val="0"/>
          <w:sz w:val="24"/>
          <w:szCs w:val="24"/>
        </w:rPr>
        <w:t>专业领域代码：085211</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计算机技术是综合运用计算机科学理论、各种应用技术以及工程方法，把计算机技术与生产实践相结合，并很好地解决生产实践中的实际问题。本学科主要为新型工业化建设的信息技术等领域培养计算机应用型和工程研究型人才。</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学科以计算机信息技术为基础，以建筑类相关行业的自动化、智能化、数字化、网络化需求为技术服务目标，形成紧密结合建筑相关工程领域的虚拟现实工程、大数据与云计算、信息获取与信息处理、物联网工程、嵌入式系统和系统集成与优化工程技术等具有鲜明特色的研究方向，成为安徽省在计算机科学与技术学科方面的领先团队，并在全国有一定的知名度。</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学科现有教授12人，副教授20人，博士14人，有硕士生导师20人。拥有全国优秀教师1人、安徽省高校学科拔尖人才1人、安徽省教学名师2人、安徽省高校中青年骨干教师1人，安徽建筑大学创新团队1个。拥有省级及校级重点实验室各一个。</w:t>
      </w:r>
    </w:p>
    <w:p>
      <w:pPr>
        <w:widowControl/>
        <w:adjustRightInd w:val="0"/>
        <w:spacing w:before="156" w:beforeLines="50" w:line="460" w:lineRule="exact"/>
        <w:jc w:val="left"/>
        <w:outlineLvl w:val="1"/>
        <w:rPr>
          <w:rFonts w:ascii="宋体" w:hAnsi="宋体" w:eastAsia="宋体" w:cs="宋体"/>
          <w:b/>
          <w:bCs/>
          <w:color w:val="333333"/>
          <w:kern w:val="0"/>
          <w:sz w:val="36"/>
          <w:szCs w:val="36"/>
        </w:rPr>
      </w:pPr>
      <w:r>
        <w:rPr>
          <w:rFonts w:hint="eastAsia" w:ascii="宋体" w:hAnsi="宋体" w:eastAsia="宋体" w:cs="宋体"/>
          <w:b/>
          <w:bCs/>
          <w:color w:val="464646"/>
          <w:kern w:val="0"/>
          <w:sz w:val="24"/>
          <w:szCs w:val="24"/>
        </w:rPr>
        <w:t>二、培养目标</w:t>
      </w:r>
    </w:p>
    <w:p>
      <w:pPr>
        <w:widowControl/>
        <w:spacing w:before="156" w:beforeLines="50" w:line="460" w:lineRule="exact"/>
        <w:ind w:firstLine="480" w:firstLineChars="200"/>
        <w:jc w:val="both"/>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培养适应我国社会主义现代化建设需要，德、智、体、美全面发展的、具有严谨科学态度、创新精神和实践能力的高层次计算机技术应用型专门人才。认真学习邓小平理论、“三个代表”重要思想和科学发展观，遵纪守法，品行端正，作风正派，刻苦学习；</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2、掌握计算机技术领域坚实的基础理论和宽广的专业知识、具有较强的解决实际问题的能力，能够承担本专业技术或管理工作，熟悉所从事研究或工程方面的科学技术发展动向；</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3、熟练地掌握一门外国语，具有应用外语开展研究和实践活动的能力；</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4、具有实事求是的科学态度、严谨务实的工作作风和谦虚诚挚的合作精神，具备在实践中持续创新的能力，能够独立解决所从事计算机专业领域的工程技术问题；</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5、具有成熟健全的心理和健康的体魄。</w:t>
      </w:r>
    </w:p>
    <w:p>
      <w:pPr>
        <w:pStyle w:val="2"/>
        <w:adjustRightInd w:val="0"/>
        <w:snapToGrid w:val="0"/>
        <w:spacing w:before="156" w:beforeLines="50" w:beforeAutospacing="0" w:after="0" w:afterAutospacing="0" w:line="460" w:lineRule="exact"/>
        <w:rPr>
          <w:rFonts w:hint="eastAsia" w:ascii="宋体" w:hAnsi="宋体" w:eastAsia="宋体" w:cs="宋体"/>
          <w:b/>
          <w:bCs/>
          <w:color w:val="000000"/>
          <w:szCs w:val="24"/>
        </w:rPr>
      </w:pPr>
      <w:r>
        <w:rPr>
          <w:rFonts w:hint="eastAsia" w:ascii="宋体" w:hAnsi="宋体" w:eastAsia="宋体" w:cs="宋体"/>
          <w:b/>
          <w:bCs/>
          <w:color w:val="000000"/>
          <w:szCs w:val="24"/>
        </w:rPr>
        <w:t>三、专业设置及研究方向</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 xml:space="preserve">本专业领域的研究方向包括： </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a.虚拟现实工程</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bookmarkStart w:id="0" w:name="OLE_LINK2"/>
      <w:bookmarkStart w:id="1" w:name="OLE_LINK1"/>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本研究方向从虚拟现实理论方法、虚拟现实的工程应用理论两个角度开展工作。主要研究包括：研究建筑领域实体对象数学模型的描述方法,使用面向复杂系统的的建模方法和技术，充分利用云计算平台，建筑信息模型等复杂系统支撑环境及工具建立建筑领域系统的静态和动态模型；建立古建筑保护利用，地下工程施工工艺，建筑环境分析等复杂系统的动态仿真模型；研究相关复杂系统的特点及可信度评估对策。</w:t>
      </w:r>
      <w:bookmarkEnd w:id="0"/>
      <w:r>
        <w:rPr>
          <w:rFonts w:hint="eastAsia" w:ascii="宋体" w:hAnsi="宋体" w:eastAsia="宋体" w:cs="宋体"/>
          <w:color w:val="000000"/>
          <w:szCs w:val="24"/>
        </w:rPr>
        <w:fldChar w:fldCharType="end"/>
      </w:r>
      <w:bookmarkEnd w:id="1"/>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b.大数据与云计算</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该方向的研究内容为云计算环境中的大规模数据处理过程并行任务调度，并面向能耗、存储空间、性能等各方面的目标进行建模和优化，包括：基于Map\Reduce，Spark等开源计算框架的任务时空调度，从理论和实践两个方面来实现大数据处理任务并行调度平台；针对建筑领域特点，研究大数据与云计算在建筑能耗分项测量、分析，环境控制策略，应急决策支持，大型建筑和高层建筑施工安全中的应用。</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c.信息获取与信息处理</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为了适应楼宇智能化、建筑节能、智慧城市等方面的信息处理需求，开展智能信息处理的基础理论及其应用研究，包括：研究信息和知识处理的数学理论，复杂系统的算法设计和分析，并行处理理论与算法，机器学习理论和算法，生物信息和神经信息处理，多媒体信息处理，智能检索技术、数据库与数据仓库技术的理论与应用；研究基于传感器网络的安防技术，建筑环境感知与能源管理中的智能信息处理等。</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d.嵌入式系统</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针对特定应用而开展的专用</w:t>
      </w:r>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"http://baike.baidu.com/view/3314.htm" \t "_blank"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计算机</w:t>
      </w:r>
      <w:r>
        <w:rPr>
          <w:rFonts w:hint="eastAsia" w:ascii="宋体" w:hAnsi="宋体" w:eastAsia="宋体" w:cs="宋体"/>
          <w:color w:val="000000"/>
          <w:szCs w:val="24"/>
        </w:rPr>
        <w:fldChar w:fldCharType="end"/>
      </w:r>
      <w:r>
        <w:rPr>
          <w:rFonts w:hint="eastAsia" w:ascii="宋体" w:hAnsi="宋体" w:eastAsia="宋体" w:cs="宋体"/>
          <w:color w:val="000000"/>
          <w:szCs w:val="24"/>
        </w:rPr>
        <w:t>系统设计的研究，如控制、监视或者带有特定要求的预先定义任务的装置、机器、工厂设备，和与建筑有关的装置、设备等，包括装置、设备控制的设计和优化，尺寸的减小、成本的降低等。</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 xml:space="preserve">e.物联网工程 </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通过物联网的相关理论、方法和技能，运用通信技术、网络技术、传感技术等信息领域的专业知识，在传感器与传感器网络、RFID、智能仪器仪表、</w:t>
      </w:r>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"http://baike.baidu.com/view/2786789.htm" \t "_blank"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智能终端</w:t>
      </w:r>
      <w:r>
        <w:rPr>
          <w:rFonts w:hint="eastAsia" w:ascii="宋体" w:hAnsi="宋体" w:eastAsia="宋体" w:cs="宋体"/>
          <w:color w:val="000000"/>
          <w:szCs w:val="24"/>
        </w:rPr>
        <w:fldChar w:fldCharType="end"/>
      </w:r>
      <w:r>
        <w:rPr>
          <w:rFonts w:hint="eastAsia" w:ascii="宋体" w:hAnsi="宋体" w:eastAsia="宋体" w:cs="宋体"/>
          <w:color w:val="000000"/>
          <w:szCs w:val="24"/>
        </w:rPr>
        <w:t>、网络通信设备、智能建筑等物联网制造领域，研究相关的通信服务、云计算服务、高端集成与应用等。</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f.系统集成与优化工程技术</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通过</w:t>
      </w:r>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"http://baike.baidu.com/view/663997.htm" \t "_blank"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计算机网络和系统优化技术</w:t>
      </w:r>
      <w:r>
        <w:rPr>
          <w:rFonts w:hint="eastAsia" w:ascii="宋体" w:hAnsi="宋体" w:eastAsia="宋体" w:cs="宋体"/>
          <w:color w:val="000000"/>
          <w:szCs w:val="24"/>
        </w:rPr>
        <w:fldChar w:fldCharType="end"/>
      </w:r>
      <w:r>
        <w:rPr>
          <w:rFonts w:hint="eastAsia" w:ascii="宋体" w:hAnsi="宋体" w:eastAsia="宋体" w:cs="宋体"/>
          <w:color w:val="000000"/>
          <w:szCs w:val="24"/>
        </w:rPr>
        <w:t>，对各个分离的设备、功能和信息等进行系统集成和优化，包括：功能集成、</w:t>
      </w:r>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"http://baike.baidu.com/view/7084599.htm" \t "_blank"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BSV</w:t>
      </w:r>
      <w:r>
        <w:rPr>
          <w:rFonts w:hint="eastAsia" w:ascii="宋体" w:hAnsi="宋体" w:eastAsia="宋体" w:cs="宋体"/>
          <w:color w:val="000000"/>
          <w:szCs w:val="24"/>
        </w:rPr>
        <w:fldChar w:fldCharType="end"/>
      </w:r>
      <w:r>
        <w:rPr>
          <w:rFonts w:hint="eastAsia" w:ascii="宋体" w:hAnsi="宋体" w:eastAsia="宋体" w:cs="宋体"/>
          <w:color w:val="000000"/>
          <w:szCs w:val="24"/>
        </w:rPr>
        <w:t>液晶拼接集成、</w:t>
      </w:r>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"http://baike.baidu.com/subview/16242/5128166.htm" \t "_blank"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综合布线</w:t>
      </w:r>
      <w:r>
        <w:rPr>
          <w:rFonts w:hint="eastAsia" w:ascii="宋体" w:hAnsi="宋体" w:eastAsia="宋体" w:cs="宋体"/>
          <w:color w:val="000000"/>
          <w:szCs w:val="24"/>
        </w:rPr>
        <w:fldChar w:fldCharType="end"/>
      </w:r>
      <w:r>
        <w:rPr>
          <w:rFonts w:hint="eastAsia" w:ascii="宋体" w:hAnsi="宋体" w:eastAsia="宋体" w:cs="宋体"/>
          <w:color w:val="000000"/>
          <w:szCs w:val="24"/>
        </w:rPr>
        <w:t>、网络集成等的研究。解决各类设备、子系统间的</w:t>
      </w:r>
      <w:r>
        <w:rPr>
          <w:rFonts w:hint="eastAsia" w:ascii="宋体" w:hAnsi="宋体" w:eastAsia="宋体" w:cs="宋体"/>
          <w:color w:val="000000"/>
          <w:szCs w:val="24"/>
        </w:rPr>
        <w:fldChar w:fldCharType="begin"/>
      </w:r>
      <w:r>
        <w:rPr>
          <w:rFonts w:hint="eastAsia" w:ascii="宋体" w:hAnsi="宋体" w:eastAsia="宋体" w:cs="宋体"/>
          <w:color w:val="000000"/>
          <w:szCs w:val="24"/>
        </w:rPr>
        <w:instrText xml:space="preserve"> HYPERLINK "http://baike.baidu.com/view/159864.htm" \t "_blank" </w:instrText>
      </w:r>
      <w:r>
        <w:rPr>
          <w:rFonts w:hint="eastAsia" w:ascii="宋体" w:hAnsi="宋体" w:eastAsia="宋体" w:cs="宋体"/>
          <w:color w:val="000000"/>
          <w:szCs w:val="24"/>
        </w:rPr>
        <w:fldChar w:fldCharType="separate"/>
      </w:r>
      <w:r>
        <w:rPr>
          <w:rFonts w:hint="eastAsia" w:ascii="宋体" w:hAnsi="宋体" w:eastAsia="宋体" w:cs="宋体"/>
          <w:color w:val="000000"/>
          <w:szCs w:val="24"/>
        </w:rPr>
        <w:t>接口</w:t>
      </w:r>
      <w:r>
        <w:rPr>
          <w:rFonts w:hint="eastAsia" w:ascii="宋体" w:hAnsi="宋体" w:eastAsia="宋体" w:cs="宋体"/>
          <w:color w:val="000000"/>
          <w:szCs w:val="24"/>
        </w:rPr>
        <w:fldChar w:fldCharType="end"/>
      </w:r>
      <w:r>
        <w:rPr>
          <w:rFonts w:hint="eastAsia" w:ascii="宋体" w:hAnsi="宋体" w:eastAsia="宋体" w:cs="宋体"/>
          <w:color w:val="000000"/>
          <w:szCs w:val="24"/>
        </w:rPr>
        <w:t>、协议的互联，实现对建筑环境、施工配合、组织管理和人员配备等优化。</w:t>
      </w:r>
    </w:p>
    <w:p>
      <w:pPr>
        <w:widowControl/>
        <w:adjustRightInd w:val="0"/>
        <w:spacing w:before="156" w:beforeLines="50" w:line="460" w:lineRule="exact"/>
        <w:rPr>
          <w:rFonts w:ascii="宋体" w:hAnsi="宋体" w:eastAsia="宋体" w:cs="宋体"/>
          <w:b/>
          <w:bCs/>
          <w:color w:val="333333"/>
          <w:kern w:val="0"/>
          <w:szCs w:val="21"/>
        </w:rPr>
      </w:pPr>
      <w:r>
        <w:rPr>
          <w:rFonts w:hint="eastAsia" w:ascii="宋体" w:hAnsi="宋体" w:eastAsia="宋体" w:cs="宋体"/>
          <w:b/>
          <w:bCs/>
          <w:color w:val="333333"/>
          <w:kern w:val="0"/>
          <w:szCs w:val="21"/>
        </w:rPr>
        <w:t>四、学习年限</w:t>
      </w:r>
    </w:p>
    <w:p>
      <w:pPr>
        <w:pStyle w:val="2"/>
        <w:adjustRightInd w:val="0"/>
        <w:snapToGrid w:val="0"/>
        <w:spacing w:before="156" w:beforeLines="50" w:beforeAutospacing="0" w:after="0" w:afterAutospacing="0" w:line="460" w:lineRule="exact"/>
        <w:ind w:firstLine="480" w:firstLineChars="200"/>
        <w:rPr>
          <w:rFonts w:hint="default" w:ascii="宋体" w:hAnsi="宋体" w:eastAsia="宋体" w:cs="宋体"/>
          <w:color w:val="000000"/>
          <w:szCs w:val="24"/>
          <w:lang w:val="en-US" w:eastAsia="zh-CN"/>
        </w:rPr>
      </w:pPr>
      <w:r>
        <w:rPr>
          <w:rFonts w:hint="eastAsia" w:ascii="宋体" w:hAnsi="宋体" w:eastAsia="宋体" w:cs="宋体"/>
          <w:color w:val="000000"/>
          <w:szCs w:val="24"/>
        </w:rPr>
        <w:t>本专业领域</w:t>
      </w:r>
      <w:r>
        <w:rPr>
          <w:rFonts w:hint="eastAsia" w:ascii="宋体" w:hAnsi="宋体" w:eastAsia="宋体" w:cs="宋体"/>
          <w:color w:val="000000"/>
          <w:szCs w:val="24"/>
          <w:lang w:val="en-US" w:eastAsia="zh-CN"/>
        </w:rPr>
        <w:t>基本学制为3年，最长学习年限为基本学制加2年。</w:t>
      </w:r>
    </w:p>
    <w:p>
      <w:pPr>
        <w:widowControl/>
        <w:adjustRightInd w:val="0"/>
        <w:spacing w:before="156" w:beforeLines="50" w:line="460" w:lineRule="exact"/>
        <w:rPr>
          <w:rFonts w:ascii="宋体" w:hAnsi="宋体" w:eastAsia="宋体" w:cs="宋体"/>
          <w:b/>
          <w:bCs/>
          <w:color w:val="333333"/>
          <w:kern w:val="0"/>
          <w:szCs w:val="21"/>
        </w:rPr>
      </w:pPr>
      <w:r>
        <w:rPr>
          <w:rFonts w:hint="eastAsia" w:ascii="宋体" w:hAnsi="宋体" w:eastAsia="宋体" w:cs="宋体"/>
          <w:b/>
          <w:bCs/>
          <w:color w:val="333333"/>
          <w:kern w:val="0"/>
          <w:szCs w:val="21"/>
        </w:rPr>
        <w:t>五、培养方式</w:t>
      </w:r>
    </w:p>
    <w:p>
      <w:pPr>
        <w:widowControl/>
        <w:adjustRightInd w:val="0"/>
        <w:spacing w:before="156" w:beforeLines="50" w:line="460" w:lineRule="exact"/>
        <w:ind w:firstLine="480" w:firstLineChars="20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1、学习各环节的设置与安排及学分要求</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1）课程学习时间为2学期。课程设置由学位课、非学位课和必修环节组成。学位课包括公共学位课、专业基础学位课、专业必修学位课三类；非学位课包括专业选修课和全校公共选修课两类。硕士研究生在课程学习阶段</w:t>
      </w:r>
      <w:r>
        <w:rPr>
          <w:rFonts w:hint="eastAsia" w:ascii="宋体" w:hAnsi="宋体" w:eastAsia="宋体" w:cs="宋体"/>
          <w:color w:val="000000"/>
          <w:szCs w:val="24"/>
          <w:lang w:eastAsia="zh-CN"/>
        </w:rPr>
        <w:t>，</w:t>
      </w:r>
      <w:r>
        <w:rPr>
          <w:rFonts w:hint="eastAsia" w:ascii="宋体" w:hAnsi="宋体" w:eastAsia="宋体" w:cs="宋体"/>
          <w:color w:val="000000"/>
          <w:szCs w:val="24"/>
          <w:lang w:val="en-US" w:eastAsia="zh-CN"/>
        </w:rPr>
        <w:t>必修修完不少于32个学分，其中，课程学习环节不少于25学分（学位课程不少于18学分），必修环节7学分。必修环节包括参加学术活动与文献阅读（1学分）和专业实践（6学分）。</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(2) 本学科允许学生在导师指导下，在本学科培养方案内多选修专业必修课，所修学分可以计算作本学科培养方案选修课（含专业选修课和全校公选课）学分。</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3）本学科允许学生在导师指导下，跨学科（含跨专硕、学硕类型，跨不同学院的学科）选修专业基础学位课、专业必修学位课、专业选修课，所修学分可以计算作本学科培养方案选修课（含专业选修课和全校公选课）学分。</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2、导师负责制与培养要求</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1）导师应以高度的责任心，全面关心硕士研究生的成长，对研究生严格要求，严格管理，既要教书又要育人。导师应根据本方案的要求，认真制定培养计划，检查并督促研究生的课程学习、社会实践以及论文研究工作。导师指导研究生论文选题、文献查阅、论文调研、课题研究、学位论文撰写和答辩，应注意在各个环节上培养研究生严谨的治学态度，实事求是的工作作风。导师要在培养过程中注重培养硕士研究生解决实践问题的意识和能力。</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2）可采用双导师负责制，由1名校内导师和1名校外导师组成。以校内导师指导为主，校外导师参与课程教学、专业实践与学位论文等多个环节的指导工作。学院应在硕士研究生培养计划的制定、工程实践、学位论文选题、科研工作及论文撰写、预答辩和答辩等各个环节上积极发挥集体培养的优势和监督作用，以提高硕士研究生的培养质量。</w:t>
      </w:r>
    </w:p>
    <w:p>
      <w:pPr>
        <w:widowControl/>
        <w:spacing w:before="156" w:beforeLines="50" w:line="460" w:lineRule="exact"/>
        <w:ind w:right="60"/>
        <w:rPr>
          <w:rFonts w:ascii="宋体" w:hAnsi="宋体" w:eastAsia="宋体" w:cs="宋体"/>
          <w:color w:val="333333"/>
          <w:kern w:val="0"/>
          <w:szCs w:val="21"/>
        </w:rPr>
      </w:pPr>
      <w:r>
        <w:rPr>
          <w:rFonts w:ascii="宋体" w:hAnsi="宋体" w:eastAsia="宋体" w:cs="宋体"/>
          <w:b/>
          <w:color w:val="333333"/>
          <w:kern w:val="0"/>
          <w:szCs w:val="21"/>
        </w:rPr>
        <w:t>六、</w:t>
      </w:r>
      <w:r>
        <w:rPr>
          <w:rFonts w:ascii="宋体" w:hAnsi="宋体" w:eastAsia="宋体" w:cs="宋体"/>
          <w:b/>
          <w:color w:val="464646"/>
          <w:kern w:val="0"/>
          <w:szCs w:val="21"/>
        </w:rPr>
        <w:t>学分要求与课程设置</w:t>
      </w:r>
    </w:p>
    <w:p>
      <w:pPr>
        <w:widowControl/>
        <w:spacing w:before="100" w:beforeAutospacing="1" w:after="100" w:afterAutospacing="1" w:line="460" w:lineRule="exact"/>
        <w:jc w:val="center"/>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 xml:space="preserve">  计算机技术 专业硕士</w:t>
      </w:r>
    </w:p>
    <w:tbl>
      <w:tblPr>
        <w:tblStyle w:val="3"/>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616"/>
        <w:gridCol w:w="2160"/>
        <w:gridCol w:w="540"/>
        <w:gridCol w:w="540"/>
        <w:gridCol w:w="540"/>
        <w:gridCol w:w="540"/>
        <w:gridCol w:w="540"/>
        <w:gridCol w:w="540"/>
        <w:gridCol w:w="540"/>
        <w:gridCol w:w="54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bookmarkStart w:id="4" w:name="_GoBack"/>
            <w:r>
              <w:rPr>
                <w:rFonts w:hint="eastAsia" w:ascii="宋体" w:hAnsi="宋体" w:eastAsia="宋体" w:cs="宋体"/>
                <w:b/>
                <w:color w:val="333333"/>
                <w:kern w:val="0"/>
                <w:sz w:val="24"/>
                <w:szCs w:val="24"/>
              </w:rPr>
              <w:t>课程类型</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课程名称</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课时</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学分</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第一学期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第二学期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第三学期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第四学期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第五学期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第六学期</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b/>
                <w:color w:val="333333"/>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学位课</w:t>
            </w:r>
          </w:p>
        </w:tc>
        <w:tc>
          <w:tcPr>
            <w:tcW w:w="61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公共学位课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自然辩证法概论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18</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由研究生处统一安排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中国特色社会主义理论与实践研究</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工程伦理</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16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英语</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180</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5</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专业基础课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数理统计与随机过程</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60</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矩阵理论</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60</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专业课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算法分析与设计</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color w:val="FF0000"/>
                <w:kern w:val="0"/>
                <w:sz w:val="18"/>
                <w:szCs w:val="18"/>
              </w:rPr>
            </w:pPr>
            <w:r>
              <w:rPr>
                <w:rFonts w:hint="eastAsia" w:ascii="宋体" w:hAnsi="宋体" w:eastAsia="宋体" w:cs="宋体"/>
                <w:color w:val="FF0000"/>
                <w:kern w:val="0"/>
                <w:sz w:val="24"/>
                <w:szCs w:val="24"/>
              </w:rPr>
              <w:t>高级计算机系统结构</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default" w:ascii="宋体" w:hAnsi="宋体" w:eastAsia="宋体" w:cs="宋体"/>
                <w:color w:val="FF0000"/>
                <w:kern w:val="0"/>
                <w:sz w:val="18"/>
                <w:szCs w:val="18"/>
                <w:lang w:val="en-US" w:eastAsia="zh-CN"/>
              </w:rPr>
            </w:pPr>
            <w:r>
              <w:rPr>
                <w:rFonts w:hint="eastAsia" w:ascii="宋体" w:hAnsi="宋体" w:eastAsia="宋体" w:cs="宋体"/>
                <w:color w:val="FF0000"/>
                <w:kern w:val="0"/>
                <w:sz w:val="24"/>
                <w:szCs w:val="24"/>
                <w:lang w:val="en-US" w:eastAsia="zh-CN"/>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rPr>
            </w:pPr>
            <w:r>
              <w:rPr>
                <w:rFonts w:hint="eastAsia" w:ascii="宋体" w:hAnsi="宋体" w:eastAsia="宋体" w:cs="宋体"/>
                <w:color w:val="FF0000"/>
                <w:kern w:val="0"/>
                <w:sz w:val="24"/>
                <w:szCs w:val="24"/>
                <w:lang w:val="en-US" w:eastAsia="zh-CN"/>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非学位课</w:t>
            </w:r>
          </w:p>
        </w:tc>
        <w:tc>
          <w:tcPr>
            <w:tcW w:w="616"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选修课</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最优化理论与方法</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54</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hint="default" w:ascii="宋体" w:hAnsi="宋体" w:eastAsia="宋体" w:cs="宋体"/>
                <w:color w:val="333333"/>
                <w:kern w:val="0"/>
                <w:sz w:val="18"/>
                <w:szCs w:val="18"/>
                <w:lang w:val="en-US" w:eastAsia="zh-CN"/>
              </w:rPr>
            </w:pPr>
            <w:r>
              <w:rPr>
                <w:rFonts w:hint="eastAsia" w:ascii="宋体" w:hAnsi="宋体" w:eastAsia="宋体" w:cs="宋体"/>
                <w:color w:val="333333"/>
                <w:kern w:val="0"/>
                <w:sz w:val="24"/>
                <w:szCs w:val="24"/>
              </w:rPr>
              <w:t>选够</w:t>
            </w:r>
            <w:r>
              <w:rPr>
                <w:rFonts w:hint="eastAsia" w:ascii="宋体" w:hAnsi="宋体" w:eastAsia="宋体" w:cs="宋体"/>
                <w:color w:val="333333"/>
                <w:kern w:val="0"/>
                <w:sz w:val="24"/>
                <w:szCs w:val="24"/>
                <w:lang w:val="en-US" w:eastAsia="zh-CN"/>
              </w:rPr>
              <w:t>6</w:t>
            </w:r>
            <w:r>
              <w:rPr>
                <w:rFonts w:hint="eastAsia" w:ascii="宋体" w:hAnsi="宋体" w:eastAsia="宋体" w:cs="宋体"/>
                <w:color w:val="333333"/>
                <w:kern w:val="0"/>
                <w:sz w:val="24"/>
                <w:szCs w:val="24"/>
              </w:rPr>
              <w:t>学分即可，</w:t>
            </w:r>
            <w:r>
              <w:rPr>
                <w:rFonts w:hint="eastAsia" w:ascii="宋体" w:hAnsi="宋体" w:eastAsia="宋体" w:cs="宋体"/>
                <w:color w:val="333333"/>
                <w:kern w:val="0"/>
                <w:sz w:val="24"/>
                <w:szCs w:val="24"/>
                <w:lang w:val="en-US" w:eastAsia="zh-CN"/>
              </w:rPr>
              <w:t>可以多选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模式识别</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54</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3</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left"/>
              <w:rPr>
                <w:rFonts w:hint="eastAsia" w:ascii="宋体" w:hAnsi="宋体" w:eastAsia="宋体" w:cs="宋体"/>
                <w:color w:val="33333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616"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kern w:val="0"/>
                <w:sz w:val="24"/>
                <w:szCs w:val="24"/>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云计算与大数据</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FF0000"/>
                <w:kern w:val="0"/>
                <w:sz w:val="18"/>
                <w:szCs w:val="18"/>
                <w:lang w:val="en-US" w:eastAsia="zh-CN" w:bidi="ar-SA"/>
              </w:rPr>
            </w:pPr>
            <w:r>
              <w:rPr>
                <w:rFonts w:hint="eastAsia" w:ascii="宋体" w:hAnsi="宋体" w:eastAsia="宋体" w:cs="宋体"/>
                <w:color w:val="FF0000"/>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hint="eastAsia" w:ascii="宋体" w:hAnsi="宋体" w:eastAsia="宋体" w:cs="宋体"/>
                <w:color w:val="333333"/>
                <w:kern w:val="0"/>
                <w:sz w:val="24"/>
                <w:szCs w:val="24"/>
              </w:rPr>
            </w:pPr>
          </w:p>
        </w:tc>
        <w:tc>
          <w:tcPr>
            <w:tcW w:w="900" w:type="dxa"/>
            <w:vMerge w:val="continue"/>
            <w:tcBorders>
              <w:left w:val="single" w:color="auto" w:sz="4" w:space="0"/>
              <w:right w:val="single" w:color="auto" w:sz="4" w:space="0"/>
            </w:tcBorders>
            <w:vAlign w:val="center"/>
          </w:tcPr>
          <w:p>
            <w:pPr>
              <w:widowControl/>
              <w:spacing w:before="100" w:beforeAutospacing="1" w:after="100" w:afterAutospacing="1" w:line="460" w:lineRule="exact"/>
              <w:jc w:val="left"/>
              <w:rPr>
                <w:rFonts w:hint="eastAsia" w:ascii="宋体" w:hAnsi="宋体" w:eastAsia="宋体" w:cs="宋体"/>
                <w:color w:val="333333"/>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人工智能</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数据挖掘</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Calibri"/>
                <w:kern w:val="0"/>
                <w:sz w:val="24"/>
                <w:szCs w:val="24"/>
              </w:rPr>
              <w:t>计算机网络高级软件编程技术</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嵌入式系统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建筑信息模型原理与技术</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无线传感器网络</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分布式计算机系统</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mc:AlternateContent>
                <mc:Choice Requires="wps">
                  <w:drawing>
                    <wp:anchor distT="0" distB="0" distL="114300" distR="114300" simplePos="0" relativeHeight="251661312" behindDoc="0" locked="0" layoutInCell="1" allowOverlap="1">
                      <wp:simplePos x="0" y="0"/>
                      <wp:positionH relativeFrom="column">
                        <wp:posOffset>29845</wp:posOffset>
                      </wp:positionH>
                      <wp:positionV relativeFrom="paragraph">
                        <wp:posOffset>62230</wp:posOffset>
                      </wp:positionV>
                      <wp:extent cx="123825" cy="133350"/>
                      <wp:effectExtent l="6350" t="6350" r="22225" b="12700"/>
                      <wp:wrapNone/>
                      <wp:docPr id="2" name="流程图: 联系 2"/>
                      <wp:cNvGraphicFramePr/>
                      <a:graphic xmlns:a="http://schemas.openxmlformats.org/drawingml/2006/main">
                        <a:graphicData uri="http://schemas.microsoft.com/office/word/2010/wordprocessingShape">
                          <wps:wsp>
                            <wps:cNvSpPr/>
                            <wps:spPr>
                              <a:xfrm>
                                <a:off x="0" y="0"/>
                                <a:ext cx="123825" cy="133350"/>
                              </a:xfrm>
                              <a:prstGeom prst="flowChartConnector">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0" type="#_x0000_t120" style="position:absolute;left:0pt;margin-left:2.35pt;margin-top:4.9pt;height:10.5pt;width:9.75pt;z-index:251661312;v-text-anchor:middle;mso-width-relative:page;mso-height-relative:page;" fillcolor="#000000 [3200]" filled="t" stroked="t" coordsize="21600,21600" o:gfxdata="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mbp2K0gAAAAUBAAAPAAAAAAAAAAEAIAAAACIAAABkcnMvZG93&#10;bnJldi54bWxQSwECFAAUAAAACACHTuJAeb9PsXgCAADfBAAADgAAAAAAAAABACAAAAAhAQAAZHJz&#10;L2Uyb0RvYy54bWxQSwUGAAAAAAYABgBZAQAACwYAAAAA&#10;">
                      <v:fill on="t" focussize="0,0"/>
                      <v:stroke weight="1pt" color="#000000 [3200]" miterlimit="8" joinstyle="miter"/>
                      <v:imagedata o:title=""/>
                      <o:lock v:ext="edit" aspectratio="f"/>
                    </v:shape>
                  </w:pict>
                </mc:Fallback>
              </mc:AlternateContent>
            </w: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虚拟现实技术</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数据采集与信号处理</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36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616"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 </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必修环节</w:t>
            </w: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学术活动与文献阅读</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2</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计入32学分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全日制专业硕士专业实践</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1</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6</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333333"/>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补修环节</w:t>
            </w: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Helvetica"/>
                <w:i/>
                <w:kern w:val="0"/>
                <w:sz w:val="24"/>
                <w:szCs w:val="24"/>
              </w:rPr>
              <w:t>计算机组成与体系结构</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72</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4.5</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 w:val="18"/>
                <w:szCs w:val="18"/>
              </w:rPr>
            </w:pPr>
          </w:p>
        </w:tc>
        <w:tc>
          <w:tcPr>
            <w:tcW w:w="21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Helvetica"/>
                <w:i/>
                <w:kern w:val="0"/>
                <w:sz w:val="24"/>
                <w:szCs w:val="24"/>
              </w:rPr>
              <w:t>数据结构与</w:t>
            </w:r>
            <w:r>
              <w:rPr>
                <w:rFonts w:hint="eastAsia" w:ascii="宋体" w:hAnsi="宋体" w:eastAsia="宋体" w:cs="Helvetica"/>
                <w:i/>
                <w:kern w:val="0"/>
                <w:sz w:val="24"/>
                <w:szCs w:val="24"/>
                <w:u w:val="single"/>
              </w:rPr>
              <w:t>算法</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72</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i/>
                <w:kern w:val="0"/>
                <w:sz w:val="24"/>
                <w:szCs w:val="24"/>
              </w:rPr>
              <w:t>4.5</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kern w:val="0"/>
                <w:sz w:val="18"/>
                <w:szCs w:val="18"/>
              </w:rPr>
            </w:pPr>
            <w:r>
              <w:rPr>
                <w:rFonts w:hint="eastAsia" w:ascii="宋体" w:hAnsi="宋体" w:eastAsia="宋体" w:cs="宋体"/>
                <w:kern w:val="0"/>
                <w:sz w:val="24"/>
                <w:szCs w:val="24"/>
              </w:rPr>
              <w:t>○</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100" w:beforeAutospacing="1" w:after="100" w:afterAutospacing="1" w:line="460" w:lineRule="exact"/>
              <w:jc w:val="center"/>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60" w:lineRule="exact"/>
              <w:jc w:val="left"/>
              <w:rPr>
                <w:rFonts w:ascii="宋体" w:hAnsi="宋体" w:eastAsia="宋体" w:cs="宋体"/>
                <w:color w:val="333333"/>
                <w:kern w:val="0"/>
                <w:sz w:val="18"/>
                <w:szCs w:val="18"/>
              </w:rPr>
            </w:pPr>
            <w:r>
              <w:rPr>
                <w:rFonts w:hint="eastAsia" w:ascii="宋体" w:hAnsi="宋体" w:eastAsia="宋体" w:cs="宋体"/>
                <w:color w:val="333333"/>
                <w:kern w:val="0"/>
                <w:sz w:val="24"/>
                <w:szCs w:val="24"/>
              </w:rPr>
              <w:t> </w:t>
            </w:r>
          </w:p>
        </w:tc>
      </w:tr>
      <w:bookmarkEnd w:id="4"/>
    </w:tbl>
    <w:p>
      <w:pPr>
        <w:widowControl/>
        <w:spacing w:before="100" w:beforeAutospacing="1" w:after="100" w:afterAutospacing="1" w:line="460" w:lineRule="exact"/>
        <w:rPr>
          <w:rFonts w:ascii="宋体" w:hAnsi="宋体" w:eastAsia="宋体" w:cs="宋体"/>
          <w:color w:val="333333"/>
          <w:kern w:val="0"/>
          <w:szCs w:val="21"/>
        </w:rPr>
      </w:pPr>
      <w:r>
        <w:rPr>
          <w:rFonts w:hint="eastAsia" w:ascii="宋体" w:hAnsi="宋体" w:eastAsia="宋体" w:cs="宋体"/>
          <w:b/>
          <w:bCs/>
          <w:color w:val="333333"/>
          <w:kern w:val="0"/>
          <w:sz w:val="24"/>
          <w:szCs w:val="24"/>
        </w:rPr>
        <w:t>七、学位论文</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学位论文应紧密结合计算机技术实践的主题展开。</w:t>
      </w:r>
    </w:p>
    <w:p>
      <w:pPr>
        <w:pStyle w:val="2"/>
        <w:adjustRightInd w:val="0"/>
        <w:snapToGrid w:val="0"/>
        <w:spacing w:before="156" w:beforeLines="50" w:beforeAutospacing="0" w:after="0" w:afterAutospacing="0" w:line="460" w:lineRule="exact"/>
        <w:ind w:firstLine="482" w:firstLineChars="200"/>
        <w:rPr>
          <w:rFonts w:hint="eastAsia" w:ascii="宋体" w:hAnsi="宋体" w:eastAsia="宋体" w:cs="宋体"/>
          <w:b/>
          <w:bCs/>
          <w:color w:val="000000"/>
          <w:szCs w:val="24"/>
        </w:rPr>
      </w:pPr>
      <w:r>
        <w:rPr>
          <w:rFonts w:hint="eastAsia" w:ascii="宋体" w:hAnsi="宋体" w:eastAsia="宋体" w:cs="宋体"/>
          <w:b/>
          <w:bCs/>
          <w:color w:val="000000"/>
          <w:szCs w:val="24"/>
        </w:rPr>
        <w:t>1、论文选题</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专业硕士学位论文选题应来源于工程应用或具有明确的工程背景，并尽量结合导师的科研项目进行。其研究成果要有实际应用价值，论文要具有一定的理论深度和先进性。</w:t>
      </w:r>
    </w:p>
    <w:p>
      <w:pPr>
        <w:pStyle w:val="2"/>
        <w:adjustRightInd w:val="0"/>
        <w:snapToGrid w:val="0"/>
        <w:spacing w:before="156" w:beforeLines="50" w:beforeAutospacing="0" w:after="0" w:afterAutospacing="0" w:line="460" w:lineRule="exact"/>
        <w:ind w:firstLine="482" w:firstLineChars="200"/>
        <w:rPr>
          <w:rFonts w:hint="eastAsia" w:ascii="宋体" w:hAnsi="宋体" w:eastAsia="宋体" w:cs="宋体"/>
          <w:b/>
          <w:bCs/>
          <w:color w:val="000000"/>
          <w:szCs w:val="24"/>
        </w:rPr>
      </w:pPr>
      <w:r>
        <w:rPr>
          <w:rFonts w:hint="eastAsia" w:ascii="宋体" w:hAnsi="宋体" w:eastAsia="宋体" w:cs="宋体"/>
          <w:b/>
          <w:bCs/>
          <w:color w:val="000000"/>
          <w:szCs w:val="24"/>
        </w:rPr>
        <w:t>2、论文开题</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lang w:val="en-US" w:eastAsia="zh-CN"/>
        </w:rPr>
      </w:pPr>
      <w:r>
        <w:rPr>
          <w:rFonts w:hint="eastAsia" w:ascii="宋体" w:hAnsi="宋体" w:eastAsia="宋体" w:cs="宋体"/>
          <w:color w:val="000000"/>
          <w:szCs w:val="24"/>
          <w:lang w:val="en-US" w:eastAsia="zh-CN"/>
        </w:rPr>
        <w:t>学制3年的研究生开题报告在第四学期开学2个月内进行，学制2~3年的研究生开题报告在第三学期开学2个月内进行。</w:t>
      </w:r>
      <w:r>
        <w:rPr>
          <w:rFonts w:hint="eastAsia" w:ascii="宋体" w:hAnsi="宋体" w:eastAsia="宋体" w:cs="宋体"/>
          <w:color w:val="000000"/>
          <w:szCs w:val="24"/>
        </w:rPr>
        <w:t>研究生应系统地查阅国内外有关文献，了解国内外科技动</w:t>
      </w:r>
      <w:r>
        <w:rPr>
          <w:rFonts w:hint="eastAsia" w:ascii="宋体" w:hAnsi="宋体" w:eastAsia="宋体" w:cs="宋体"/>
          <w:color w:val="000000"/>
          <w:szCs w:val="24"/>
          <w:lang w:val="en-US" w:eastAsia="zh-CN"/>
        </w:rPr>
        <w:t>态，并对收集的资料作出分析和评述，指出需要解决的问题和方法，在导师指导下制定论文工作计划，提交开题报告并完成开题答辩。</w:t>
      </w:r>
    </w:p>
    <w:p>
      <w:pPr>
        <w:pStyle w:val="2"/>
        <w:adjustRightInd w:val="0"/>
        <w:snapToGrid w:val="0"/>
        <w:spacing w:before="156" w:beforeLines="50" w:beforeAutospacing="0" w:after="0" w:afterAutospacing="0" w:line="460" w:lineRule="exact"/>
        <w:ind w:firstLine="482" w:firstLineChars="200"/>
        <w:rPr>
          <w:rFonts w:hint="eastAsia" w:ascii="宋体" w:hAnsi="宋体" w:eastAsia="宋体" w:cs="宋体"/>
          <w:b/>
          <w:bCs/>
          <w:color w:val="000000"/>
          <w:szCs w:val="24"/>
        </w:rPr>
      </w:pPr>
      <w:r>
        <w:rPr>
          <w:rFonts w:hint="eastAsia" w:ascii="宋体" w:hAnsi="宋体" w:eastAsia="宋体" w:cs="宋体"/>
          <w:b/>
          <w:bCs/>
          <w:color w:val="000000"/>
          <w:szCs w:val="24"/>
        </w:rPr>
        <w:t>3、论文撰写与要求</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r>
        <w:rPr>
          <w:rFonts w:hint="eastAsia" w:ascii="宋体" w:hAnsi="宋体" w:eastAsia="宋体" w:cs="宋体"/>
          <w:color w:val="000000"/>
          <w:szCs w:val="24"/>
        </w:rPr>
        <w:t>学位论文必须在导师（组）的指导下由研究生本人独立完成。论文可采用产品研发、工程设计、应用研究、工程/项目管理、调研报告等多种形式之一，内容应涉及计算机相关领域。学位论文要求能综合运用基础理论、科学方法、专业知识和技术手段对工程实际问题进行分析研究，并能在某方面提出独立见解；对所选用的研究方法要有科学根据，理论推导正确，计算结果无误，实验数据真实可靠，分析严谨；对结论应作理论上的阐述，引用他人的材料要引证原著。论文要求词句精练通顺、条理分明、逻辑性强、文字图表清晰整齐。学位论文格式要求根据学校统一要求。</w:t>
      </w:r>
    </w:p>
    <w:p>
      <w:pPr>
        <w:pStyle w:val="2"/>
        <w:adjustRightInd w:val="0"/>
        <w:snapToGrid w:val="0"/>
        <w:spacing w:before="156" w:beforeLines="50" w:beforeAutospacing="0" w:after="0" w:afterAutospacing="0" w:line="460" w:lineRule="exact"/>
        <w:ind w:firstLine="480" w:firstLineChars="200"/>
        <w:rPr>
          <w:rFonts w:hint="eastAsia" w:ascii="宋体" w:hAnsi="宋体" w:eastAsia="宋体" w:cs="宋体"/>
          <w:color w:val="000000"/>
          <w:szCs w:val="24"/>
        </w:rPr>
      </w:pPr>
    </w:p>
    <w:p>
      <w:pPr>
        <w:pStyle w:val="2"/>
        <w:adjustRightInd w:val="0"/>
        <w:snapToGrid w:val="0"/>
        <w:spacing w:before="156" w:beforeLines="50" w:beforeAutospacing="0" w:after="0" w:afterAutospacing="0" w:line="460" w:lineRule="exact"/>
        <w:ind w:firstLine="480" w:firstLineChars="200"/>
        <w:rPr>
          <w:rFonts w:ascii="宋体" w:hAnsi="宋体" w:eastAsia="宋体" w:cs="宋体"/>
          <w:color w:val="333333"/>
          <w:kern w:val="0"/>
          <w:szCs w:val="21"/>
        </w:rPr>
      </w:pPr>
      <w:r>
        <w:rPr>
          <w:rFonts w:hint="eastAsia" w:ascii="宋体" w:hAnsi="宋体" w:eastAsia="宋体" w:cs="宋体"/>
          <w:color w:val="333333"/>
          <w:kern w:val="0"/>
          <w:sz w:val="24"/>
          <w:szCs w:val="24"/>
        </w:rPr>
        <w:t>4</w:t>
      </w:r>
      <w:r>
        <w:rPr>
          <w:rFonts w:hint="eastAsia" w:ascii="宋体" w:hAnsi="宋体" w:eastAsia="宋体" w:cs="宋体"/>
          <w:b/>
          <w:color w:val="000000"/>
          <w:kern w:val="0"/>
          <w:sz w:val="24"/>
          <w:szCs w:val="24"/>
        </w:rPr>
        <w:t>、发表论文要求</w:t>
      </w:r>
    </w:p>
    <w:p>
      <w:pPr>
        <w:widowControl/>
        <w:spacing w:before="156" w:beforeLines="50" w:after="100" w:afterAutospacing="1" w:line="460" w:lineRule="exact"/>
        <w:ind w:firstLine="480" w:firstLineChars="200"/>
        <w:rPr>
          <w:rFonts w:ascii="宋体" w:hAnsi="宋体" w:eastAsia="宋体" w:cs="宋体"/>
          <w:color w:val="333333"/>
          <w:kern w:val="0"/>
          <w:szCs w:val="21"/>
        </w:rPr>
      </w:pPr>
      <w:r>
        <w:rPr>
          <w:rFonts w:hint="eastAsia" w:ascii="宋体" w:hAnsi="宋体" w:eastAsia="宋体" w:cs="宋体"/>
          <w:bCs/>
          <w:color w:val="333333"/>
          <w:kern w:val="0"/>
          <w:sz w:val="24"/>
          <w:szCs w:val="24"/>
        </w:rPr>
        <w:t>鼓励学生在导师（组）的指导下撰写论文。</w:t>
      </w:r>
    </w:p>
    <w:p>
      <w:pPr>
        <w:widowControl/>
        <w:spacing w:before="156" w:beforeLines="50" w:after="100" w:afterAutospacing="1" w:line="460" w:lineRule="exact"/>
        <w:ind w:firstLine="482" w:firstLineChars="200"/>
        <w:rPr>
          <w:rFonts w:ascii="宋体" w:hAnsi="宋体" w:eastAsia="宋体" w:cs="宋体"/>
          <w:color w:val="333333"/>
          <w:kern w:val="0"/>
          <w:szCs w:val="21"/>
        </w:rPr>
      </w:pPr>
      <w:r>
        <w:rPr>
          <w:rFonts w:hint="eastAsia" w:ascii="宋体" w:hAnsi="宋体" w:eastAsia="宋体" w:cs="宋体"/>
          <w:b/>
          <w:color w:val="000000"/>
          <w:kern w:val="0"/>
          <w:sz w:val="24"/>
          <w:szCs w:val="24"/>
        </w:rPr>
        <w:t>5、论文评阅与答辩</w:t>
      </w:r>
    </w:p>
    <w:p>
      <w:pPr>
        <w:pStyle w:val="2"/>
        <w:adjustRightInd w:val="0"/>
        <w:snapToGrid w:val="0"/>
        <w:spacing w:before="156" w:beforeLines="50" w:beforeAutospacing="0" w:after="0" w:afterAutospacing="0" w:line="460" w:lineRule="exact"/>
        <w:ind w:firstLine="480" w:firstLineChars="200"/>
        <w:jc w:val="both"/>
        <w:rPr>
          <w:rFonts w:hint="eastAsia" w:ascii="宋体" w:hAnsi="宋体" w:eastAsia="宋体" w:cs="宋体"/>
          <w:color w:val="000000"/>
          <w:szCs w:val="24"/>
          <w:lang w:val="en-US" w:eastAsia="zh-CN"/>
        </w:rPr>
      </w:pPr>
      <w:bookmarkStart w:id="2" w:name="baidusnap6"/>
      <w:bookmarkEnd w:id="2"/>
      <w:r>
        <w:rPr>
          <w:rFonts w:hint="eastAsia" w:ascii="宋体" w:hAnsi="宋体" w:eastAsia="宋体" w:cs="宋体"/>
          <w:color w:val="000000"/>
          <w:szCs w:val="24"/>
          <w:lang w:val="en-US" w:eastAsia="zh-CN"/>
        </w:rPr>
        <w:t>学位论文评阅、答辩按《安徽建筑大学硕士学位论文盲审的规定》、《安徽建筑大学硕士研究生论文答辩及学位申请工作细则》有关规定执行。</w:t>
      </w:r>
    </w:p>
    <w:p>
      <w:pPr>
        <w:pStyle w:val="2"/>
        <w:adjustRightInd w:val="0"/>
        <w:snapToGrid w:val="0"/>
        <w:spacing w:before="156" w:beforeLines="50" w:beforeAutospacing="0" w:after="0" w:afterAutospacing="0" w:line="460" w:lineRule="exact"/>
        <w:ind w:firstLine="480" w:firstLineChars="200"/>
        <w:jc w:val="both"/>
        <w:rPr>
          <w:rFonts w:hint="eastAsia" w:ascii="宋体" w:hAnsi="宋体" w:eastAsia="宋体" w:cs="宋体"/>
          <w:color w:val="000000"/>
          <w:szCs w:val="24"/>
          <w:lang w:val="en-US" w:eastAsia="zh-CN"/>
        </w:rPr>
      </w:pPr>
      <w:r>
        <w:rPr>
          <w:rFonts w:hint="eastAsia" w:ascii="宋体" w:hAnsi="宋体" w:eastAsia="宋体" w:cs="宋体"/>
          <w:color w:val="000000"/>
          <w:szCs w:val="24"/>
          <w:lang w:val="en-US" w:eastAsia="zh-CN"/>
        </w:rPr>
        <w:t>论文盲审出现一个C者，研究生应对论文进行仔细修改，导师应对论文进行仔细审查，方可重新申请答辩；论文盲审出现两个C者，研究生应对论文进行仔细修改，导师应对论文进行仔细审查，必要时需做补充研究工作以充实论文研究内容，两个月后方可重新申请答辩；论文盲审出现一个D者，研究生需做补充研究工作以充实论文研究内容，并对论文进行仔细修改，导师应对论文进行仔细审查，两个月后方可重新送审论文；论文盲审出现两个D者，研究生需做补充研究工作以充实论文研究内容，并对论文进行仔细修改，导师应对论文进行仔细审查，一个学期后方可重新送审论文。</w:t>
      </w:r>
    </w:p>
    <w:p>
      <w:pPr>
        <w:pStyle w:val="2"/>
        <w:adjustRightInd w:val="0"/>
        <w:snapToGrid w:val="0"/>
        <w:spacing w:before="156" w:beforeLines="50" w:beforeAutospacing="0" w:after="0" w:afterAutospacing="0" w:line="460" w:lineRule="exact"/>
        <w:jc w:val="both"/>
        <w:rPr>
          <w:rFonts w:hint="eastAsia" w:ascii="宋体" w:hAnsi="宋体" w:eastAsia="宋体" w:cs="宋体"/>
          <w:color w:val="000000"/>
          <w:szCs w:val="24"/>
        </w:rPr>
      </w:pPr>
      <w:bookmarkStart w:id="3" w:name="_Toc297490611"/>
      <w:r>
        <w:rPr>
          <w:rFonts w:hint="eastAsia" w:ascii="宋体" w:hAnsi="宋体" w:eastAsia="宋体" w:cs="宋体"/>
          <w:b/>
          <w:bCs/>
          <w:color w:val="000000"/>
          <w:szCs w:val="24"/>
        </w:rPr>
        <w:fldChar w:fldCharType="begin"/>
      </w:r>
      <w:r>
        <w:rPr>
          <w:rFonts w:hint="eastAsia" w:ascii="宋体" w:hAnsi="宋体" w:eastAsia="宋体" w:cs="宋体"/>
          <w:b/>
          <w:bCs/>
          <w:color w:val="000000"/>
          <w:szCs w:val="24"/>
        </w:rPr>
        <w:instrText xml:space="preserve"> HYPERLINK "" </w:instrText>
      </w:r>
      <w:r>
        <w:rPr>
          <w:rFonts w:hint="eastAsia" w:ascii="宋体" w:hAnsi="宋体" w:eastAsia="宋体" w:cs="宋体"/>
          <w:b/>
          <w:bCs/>
          <w:color w:val="000000"/>
          <w:szCs w:val="24"/>
        </w:rPr>
        <w:fldChar w:fldCharType="separate"/>
      </w:r>
      <w:r>
        <w:rPr>
          <w:rFonts w:hint="eastAsia" w:ascii="宋体" w:hAnsi="宋体" w:eastAsia="宋体" w:cs="宋体"/>
          <w:b/>
          <w:bCs/>
          <w:color w:val="000000"/>
          <w:szCs w:val="24"/>
        </w:rPr>
        <w:t>八、</w:t>
      </w:r>
      <w:r>
        <w:rPr>
          <w:rFonts w:hint="eastAsia" w:ascii="宋体" w:hAnsi="宋体" w:eastAsia="宋体" w:cs="宋体"/>
          <w:b/>
          <w:bCs/>
          <w:color w:val="000000"/>
          <w:szCs w:val="24"/>
        </w:rPr>
        <w:fldChar w:fldCharType="end"/>
      </w:r>
      <w:bookmarkEnd w:id="3"/>
      <w:r>
        <w:rPr>
          <w:rFonts w:hint="eastAsia" w:ascii="宋体" w:hAnsi="宋体" w:eastAsia="宋体" w:cs="宋体"/>
          <w:b/>
          <w:bCs/>
          <w:color w:val="000000"/>
          <w:szCs w:val="24"/>
        </w:rPr>
        <w:t>毕业与学位授予</w:t>
      </w:r>
    </w:p>
    <w:p>
      <w:pPr>
        <w:pStyle w:val="2"/>
        <w:adjustRightInd w:val="0"/>
        <w:snapToGrid w:val="0"/>
        <w:spacing w:before="156" w:beforeLines="50" w:beforeAutospacing="0" w:after="0" w:afterAutospacing="0" w:line="460" w:lineRule="exact"/>
        <w:ind w:firstLine="480" w:firstLineChars="200"/>
        <w:jc w:val="both"/>
        <w:rPr>
          <w:rFonts w:hint="eastAsia" w:ascii="宋体" w:hAnsi="宋体" w:eastAsia="宋体" w:cs="宋体"/>
          <w:color w:val="000000"/>
          <w:szCs w:val="24"/>
          <w:lang w:val="en-US" w:eastAsia="zh-CN"/>
        </w:rPr>
      </w:pPr>
      <w:r>
        <w:rPr>
          <w:rFonts w:hint="eastAsia" w:ascii="宋体" w:hAnsi="宋体" w:eastAsia="宋体" w:cs="宋体"/>
          <w:color w:val="000000"/>
          <w:szCs w:val="24"/>
          <w:lang w:val="en-US" w:eastAsia="zh-CN"/>
        </w:rPr>
        <w:t>研究生修满培养方案规定的课程和学分，成绩合格，完成学位论文工作并通过论文答辩后准予毕业，并取得工程硕士研究生毕业证书。达到毕业要求者可提出学位申请，经学位评定委员会的评定达到培养目标，可被授予本领域工程硕士专业学位，具体按《安徽建筑大学硕士研究生论文答辩及学位申请工作细则》有关规定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Helvetica">
    <w:altName w:val="Arial"/>
    <w:panose1 w:val="020B0504020202020204"/>
    <w:charset w:val="00"/>
    <w:family w:val="swiss"/>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E86"/>
    <w:rsid w:val="00120D18"/>
    <w:rsid w:val="001E543E"/>
    <w:rsid w:val="00231836"/>
    <w:rsid w:val="002B1D41"/>
    <w:rsid w:val="00304F9F"/>
    <w:rsid w:val="003E0E86"/>
    <w:rsid w:val="00423846"/>
    <w:rsid w:val="00A211D9"/>
    <w:rsid w:val="00B839BD"/>
    <w:rsid w:val="00C0588D"/>
    <w:rsid w:val="025B44D0"/>
    <w:rsid w:val="02AF7EA6"/>
    <w:rsid w:val="04B816AA"/>
    <w:rsid w:val="059F2714"/>
    <w:rsid w:val="097A57A5"/>
    <w:rsid w:val="0FF029CD"/>
    <w:rsid w:val="12083AF9"/>
    <w:rsid w:val="123335A6"/>
    <w:rsid w:val="123737F0"/>
    <w:rsid w:val="1A8628E7"/>
    <w:rsid w:val="1B0E1E33"/>
    <w:rsid w:val="1B3B076F"/>
    <w:rsid w:val="1BBC10B4"/>
    <w:rsid w:val="1FFA6EC5"/>
    <w:rsid w:val="203C76F3"/>
    <w:rsid w:val="2044535D"/>
    <w:rsid w:val="21681F4A"/>
    <w:rsid w:val="23441584"/>
    <w:rsid w:val="239B132E"/>
    <w:rsid w:val="2B803A06"/>
    <w:rsid w:val="2CA83750"/>
    <w:rsid w:val="2CA867E1"/>
    <w:rsid w:val="2F6D4A43"/>
    <w:rsid w:val="300E5770"/>
    <w:rsid w:val="3026682B"/>
    <w:rsid w:val="30463AEF"/>
    <w:rsid w:val="308D4B8E"/>
    <w:rsid w:val="326B661B"/>
    <w:rsid w:val="32A97D41"/>
    <w:rsid w:val="32B76790"/>
    <w:rsid w:val="35920258"/>
    <w:rsid w:val="35AE55E6"/>
    <w:rsid w:val="369E3CFB"/>
    <w:rsid w:val="37AF7FF1"/>
    <w:rsid w:val="38B730BD"/>
    <w:rsid w:val="393D3BE7"/>
    <w:rsid w:val="394D4EF6"/>
    <w:rsid w:val="39EC61E0"/>
    <w:rsid w:val="3A6551C6"/>
    <w:rsid w:val="3BD334B6"/>
    <w:rsid w:val="3DBC68EC"/>
    <w:rsid w:val="3E4A1240"/>
    <w:rsid w:val="3EA6257B"/>
    <w:rsid w:val="3EB24731"/>
    <w:rsid w:val="416F60DE"/>
    <w:rsid w:val="46EA3596"/>
    <w:rsid w:val="47520B65"/>
    <w:rsid w:val="486F7488"/>
    <w:rsid w:val="4A1B5B26"/>
    <w:rsid w:val="4C880189"/>
    <w:rsid w:val="4D50118E"/>
    <w:rsid w:val="4DF8235F"/>
    <w:rsid w:val="4FD443D8"/>
    <w:rsid w:val="5282548F"/>
    <w:rsid w:val="53312D47"/>
    <w:rsid w:val="54AB2A6B"/>
    <w:rsid w:val="550906D1"/>
    <w:rsid w:val="57B908B8"/>
    <w:rsid w:val="5A48660E"/>
    <w:rsid w:val="5A7A3E8E"/>
    <w:rsid w:val="5CA33DC3"/>
    <w:rsid w:val="60724B19"/>
    <w:rsid w:val="60B735ED"/>
    <w:rsid w:val="626F3BC2"/>
    <w:rsid w:val="63FF2574"/>
    <w:rsid w:val="66953678"/>
    <w:rsid w:val="67EB1A65"/>
    <w:rsid w:val="681218B5"/>
    <w:rsid w:val="68CE5DD8"/>
    <w:rsid w:val="6C0900BA"/>
    <w:rsid w:val="6D1D5270"/>
    <w:rsid w:val="70A05592"/>
    <w:rsid w:val="71093A85"/>
    <w:rsid w:val="71E57D91"/>
    <w:rsid w:val="75292F4F"/>
    <w:rsid w:val="78456B88"/>
    <w:rsid w:val="793B7D28"/>
    <w:rsid w:val="798A3B2F"/>
    <w:rsid w:val="7DA7179F"/>
    <w:rsid w:val="7DCA40E7"/>
    <w:rsid w:val="7F98188C"/>
    <w:rsid w:val="7FD30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Arial Unicode MS" w:hAnsi="Arial Unicode MS" w:eastAsia="Arial Unicode MS" w:cs="Arial Unicode MS"/>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731</Words>
  <Characters>4167</Characters>
  <Lines>34</Lines>
  <Paragraphs>9</Paragraphs>
  <TotalTime>6</TotalTime>
  <ScaleCrop>false</ScaleCrop>
  <LinksUpToDate>false</LinksUpToDate>
  <CharactersWithSpaces>4889</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2017-09-25T11:56:00Z</dcterms:created>
  <dc:creator>1372318180@qq.com</dc:creator>
  <cp:lastModifiedBy>夜漫苍穹</cp:lastModifiedBy>
  <dcterms:modified xsi:type="dcterms:W3CDTF">2019-12-06T07:16:16Z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